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color w:val="000000"/>
          <w:lang w:val="es-ES"/>
        </w:rPr>
        <w:t>Política de privacidad de PureSight</w:t>
      </w:r>
    </w:p>
    <w:p>
      <w:pPr>
        <w:widowControl/>
      </w:pPr>
      <w:r>
        <w:rPr>
          <w:color w:val="000000"/>
          <w:lang w:val="es-ES"/>
        </w:rPr>
        <w:t>Versión 4. Última actualización el 20 de octubre de 2026.</w:t>
      </w:r>
    </w:p>
    <w:p>
      <w:pPr>
        <w:widowControl/>
      </w:pPr>
      <w:r>
        <w:rPr>
          <w:color w:val="000000"/>
          <w:lang w:val="es-ES"/>
        </w:rPr>
        <w:t>Este aviso explica las prácticas generales de privacidad de PureSight para sus aplicaciones, cuentas, servicios en línea y sitio web. Las funciones disponibles, las organizaciones implicadas y los derechos aplicables dependen de su producto, proveedor y ubicación. Cualquier información adicional de privacidad facilitada para una función, un servicio o una jurisdicción específicos debe leerse junto con este aviso.</w:t>
      </w:r>
    </w:p>
    <w:p>
      <w:pPr>
        <w:pStyle w:val="Heading1"/>
        <w:pageBreakBefore w:val="0"/>
        <w:widowControl/>
      </w:pPr>
      <w:r>
        <w:rPr>
          <w:color w:val="000000"/>
          <w:lang w:val="es-ES"/>
        </w:rPr>
        <w:t>1 Quién es responsable y cómo contactar con nosotros</w:t>
      </w:r>
    </w:p>
    <w:p>
      <w:pPr>
        <w:widowControl/>
      </w:pPr>
      <w:r>
        <w:rPr>
          <w:color w:val="000000"/>
          <w:lang w:val="es-ES"/>
        </w:rPr>
        <w:t>PureSight Technologies Ltd. («PureSight» o «nosotros»), 23 Ha’atas Street, Kfar Saba 4442525, Israel, es responsable del tratamiento cuando decide por qué y cómo se utilizan los datos personales. Contacte con support@puresight.com o info@puresight.com para plantear preguntas sobre privacidad o solicitudes de ejercicio de derechos.</w:t>
      </w:r>
    </w:p>
    <w:p>
      <w:pPr>
        <w:widowControl/>
      </w:pPr>
      <w:r>
        <w:rPr>
          <w:color w:val="000000"/>
          <w:lang w:val="es-ES"/>
        </w:rPr>
        <w:t>El Servicio está disponible directamente a través de PureSight y de socios comerciales, incluidos acuerdos de distribución de varios niveles. Un socio comercial es responsable de la información que trata para sus propios fines, como la administración de compras, de los requisitos para acceder a una oferta o de la facturación, tal como se explica en su aviso de privacidad. La participación de un socio comercial en la venta del Servicio no le da, por sí sola, acceso a la información de supervisión de un menor.</w:t>
      </w:r>
    </w:p>
    <w:p>
      <w:pPr>
        <w:widowControl/>
      </w:pPr>
      <w:r>
        <w:rPr>
          <w:color w:val="000000"/>
          <w:lang w:val="es-ES"/>
        </w:rPr>
        <w:t>Cuando PureSight trata información únicamente siguiendo las instrucciones de otra organización, esa organización es responsable de determinar la finalidad de ese tratamiento y de facilitar la información de privacidad pertinente. Puede contactar con nosotros mediante los datos anteriores para obtener ayuda para identificar a la organización responsable de un uso concreto de su información.</w:t>
      </w:r>
    </w:p>
    <w:p>
      <w:pPr>
        <w:pStyle w:val="Heading1"/>
        <w:pageBreakBefore w:val="0"/>
        <w:widowControl/>
      </w:pPr>
      <w:r>
        <w:rPr>
          <w:color w:val="000000"/>
          <w:lang w:val="es-ES"/>
        </w:rPr>
        <w:t>2 Personas e información comprendidas</w:t>
      </w:r>
    </w:p>
    <w:p>
      <w:pPr>
        <w:widowControl/>
      </w:pPr>
      <w:r>
        <w:rPr>
          <w:color w:val="000000"/>
          <w:lang w:val="es-ES"/>
        </w:rPr>
        <w:t>El titular de la cuenta y el menor supervisado son personas distintas con derechos independientes. También podemos recibir información sobre las personas con las que se comunica el menor. Recopilamos datos a partir de la información introducida en la cuenta, las funciones activadas en los dispositivos, el uso del servicio y las interacciones con asistencia. La información utilizada para activar un Servicio distribuido por un socio comercial también puede proceder del proveedor de esa oferta.</w:t>
      </w:r>
    </w:p>
    <w:p>
      <w:pPr>
        <w:widowControl/>
      </w:pPr>
      <w:r>
        <w:rPr>
          <w:color w:val="000000"/>
          <w:lang w:val="es-ES"/>
        </w:rPr>
        <w:t>Las categorías pertinentes para su producto pueden incluir:</w:t>
      </w:r>
    </w:p>
    <w:p>
      <w:pPr>
        <w:pStyle w:val="ListBullet"/>
        <w:widowControl/>
      </w:pPr>
      <w:r>
        <w:rPr>
          <w:color w:val="000000"/>
          <w:lang w:val="es-ES"/>
        </w:rPr>
        <w:t>Información de la cuenta: nombre, dirección de correo electrónico, número de teléfono cuando sea necesario, información de autenticación, estado de la suscripción o de la licencia o derecho de acceso, configuración de la cuenta y si la cuenta utiliza el Servicio.</w:t>
      </w:r>
    </w:p>
    <w:p>
      <w:pPr>
        <w:pStyle w:val="ListBullet"/>
        <w:widowControl/>
      </w:pPr>
      <w:r>
        <w:rPr>
          <w:color w:val="000000"/>
          <w:lang w:val="es-ES"/>
        </w:rPr>
        <w:t>Información del perfil del menor: nombre o apodo, edad o intervalo de edad y cualquier información opcional de perfil que el producto ofrezca realmente. Proporcione únicamente la información necesaria para las funciones seleccionadas.</w:t>
      </w:r>
    </w:p>
    <w:p>
      <w:pPr>
        <w:pStyle w:val="ListBullet"/>
        <w:widowControl/>
      </w:pPr>
      <w:r>
        <w:rPr>
          <w:color w:val="000000"/>
          <w:lang w:val="es-ES"/>
        </w:rPr>
        <w:t>Información del dispositivo y del servicio: modelo del dispositivo, sistema operativo, identificadores técnicos, permisos, eventos de diagnóstico y registros de seguridad.</w:t>
      </w:r>
    </w:p>
    <w:p>
      <w:pPr>
        <w:pStyle w:val="ListBullet"/>
        <w:widowControl/>
      </w:pPr>
      <w:r>
        <w:rPr>
          <w:color w:val="000000"/>
          <w:lang w:val="es-ES"/>
        </w:rPr>
        <w:t>Actividad web y de aplicaciones: direcciones web visitadas, aplicaciones instaladas o utilizadas, duración del uso y ajustes relacionados de filtrado o gestión del tiempo, cuando esas funciones estén activadas.</w:t>
      </w:r>
    </w:p>
    <w:p>
      <w:pPr>
        <w:pStyle w:val="ListBullet"/>
        <w:widowControl/>
      </w:pPr>
      <w:r>
        <w:rPr>
          <w:color w:val="000000"/>
          <w:lang w:val="es-ES"/>
        </w:rPr>
        <w:t>Información de ubicación: ubicación del dispositivo, historial de ubicaciones y eventos de geovallas, cuando estén disponibles y activados.</w:t>
      </w:r>
    </w:p>
    <w:p>
      <w:pPr>
        <w:pStyle w:val="ListBullet"/>
        <w:widowControl/>
      </w:pPr>
      <w:r>
        <w:rPr>
          <w:color w:val="000000"/>
          <w:lang w:val="es-ES"/>
        </w:rPr>
        <w:t>Contenido de las comunicaciones y alertas relacionadas: mensajes, publicaciones u otros contenidos admitidos por la función concreta de supervisión, el contexto necesario para detectar posibles daños y las clasificaciones o alertas resultantes.</w:t>
      </w:r>
    </w:p>
    <w:p>
      <w:pPr>
        <w:pStyle w:val="ListBullet"/>
        <w:widowControl/>
      </w:pPr>
      <w:r>
        <w:rPr>
          <w:color w:val="000000"/>
          <w:lang w:val="es-ES"/>
        </w:rPr>
        <w:t>Información de asistencia y transacciones: comunicaciones con asistencia e información necesaria para gestionar el pedido o el derecho de acceso al servicio correspondiente. El tratamiento de las tarjetas de pago, cuando corresponda, lo describe el proveedor de pagos efectivo.</w:t>
      </w:r>
    </w:p>
    <w:p>
      <w:pPr>
        <w:widowControl/>
      </w:pPr>
      <w:r>
        <w:rPr>
          <w:color w:val="000000"/>
          <w:lang w:val="es-ES"/>
        </w:rPr>
        <w:t>La recopilación se limita a las funciones y los permisos admitidos en su plan. No se recopilan todas las categorías en todos los dispositivos. Las plataformas admitidas y el alcance de la recopilación dependen de la función seleccionada y del sistema operativo.</w:t>
      </w:r>
    </w:p>
    <w:p>
      <w:pPr>
        <w:widowControl/>
      </w:pPr>
      <w:r>
        <w:rPr>
          <w:color w:val="000000"/>
          <w:lang w:val="es-ES"/>
        </w:rPr>
        <w:t>Cuando su producto lo permita y la función esté activada, el Servicio puede tratar contenidos de plataformas sociales y de comunicación, por ejemplo TikTok, Instagram, Viber, WhatsApp y LINE, así como de otras plataformas admitidas. Esto puede incluir mensajes privados o chats, no solo publicaciones públicas. La recopilación y el análisis efectivos dependen de la plataforma, el dispositivo, las versiones del sistema operativo y de la aplicación, las funciones activadas y los permisos. Mencionar una plataforma no significa que se admita todo tipo de contenido o la misma funcionalidad en todos los dispositivos.</w:t>
      </w:r>
    </w:p>
    <w:p>
      <w:pPr>
        <w:pStyle w:val="Heading1"/>
        <w:pageBreakBefore w:val="0"/>
        <w:widowControl/>
      </w:pPr>
      <w:r>
        <w:rPr>
          <w:color w:val="000000"/>
          <w:lang w:val="es-ES"/>
        </w:rPr>
        <w:t>3 Cómo utilizamos la información</w:t>
      </w:r>
    </w:p>
    <w:p>
      <w:pPr>
        <w:widowControl/>
      </w:pPr>
      <w:r>
        <w:rPr>
          <w:color w:val="000000"/>
          <w:lang w:val="es-ES"/>
        </w:rPr>
        <w:t>Utilizamos los datos personales para los fines descritos a continuación, con sujeción a la legislación de protección de datos aplicable. Las referencias al RGPD se aplican cuando esa normativa rige el tratamiento. Aceptar el acuerdo de licencia o confirmar que se ha tomado conocimiento de este aviso no constituye un consentimiento general.</w:t>
      </w:r>
    </w:p>
    <w:p>
      <w:pPr>
        <w:widowControl/>
      </w:pPr>
      <w:r>
        <w:rPr>
          <w:b/>
          <w:color w:val="000000"/>
          <w:lang w:val="es-ES"/>
        </w:rPr>
        <w:t xml:space="preserve">Administración de la cuenta y del servicio. </w:t>
      </w:r>
      <w:r>
        <w:rPr>
          <w:color w:val="000000"/>
          <w:lang w:val="es-ES"/>
        </w:rPr>
        <w:t>Utilizamos la información del titular adulto de una cuenta para crearla y gestionarla, prestar el servicio que solicite, gestionar su derecho de acceso y responder a solicitudes relacionadas con el servicio. Cuando la persona adulta es parte de nuestro contrato y el tratamiento es objetivamente necesario para ese contrato, la base es el artículo 6, apartado 1, letra b), del RGPD. Esta base no se extiende automáticamente a los datos del menor ni a todas las funciones opcionales.</w:t>
      </w:r>
    </w:p>
    <w:p>
      <w:pPr>
        <w:widowControl/>
      </w:pPr>
      <w:r>
        <w:rPr>
          <w:b/>
          <w:color w:val="000000"/>
          <w:lang w:val="es-ES"/>
        </w:rPr>
        <w:t xml:space="preserve">Funciones de protección infantil. </w:t>
      </w:r>
      <w:r>
        <w:rPr>
          <w:color w:val="000000"/>
          <w:lang w:val="es-ES"/>
        </w:rPr>
        <w:t>Las funciones activadas pueden tratar datos de actividad, ubicación o comunicaciones para filtrar contenidos, aplicar los controles acordados, evaluar posibles riesgos y poner la información pertinente a disposición del progenitor autorizado. El menor y otras personas cuya información aparezca en las comunicaciones tienen sus propios derechos de protección de datos; el contrato de servicio del progenitor no elimina esos derechos.</w:t>
      </w:r>
    </w:p>
    <w:p>
      <w:pPr>
        <w:widowControl/>
      </w:pPr>
      <w:r>
        <w:rPr>
          <w:b/>
          <w:color w:val="000000"/>
          <w:lang w:val="es-ES"/>
        </w:rPr>
        <w:t xml:space="preserve">Administración de socios comerciales e informes de adopción del servicio. </w:t>
      </w:r>
      <w:r>
        <w:rPr>
          <w:color w:val="000000"/>
          <w:lang w:val="es-ES"/>
        </w:rPr>
        <w:t>Los socios comerciales pertinentes reciben datos de la cuenta y de la licencia, así como información vinculada a la cuenta que indica si se utiliza el Servicio, para administrar la oferta y fomentar su adopción. Estos informes son distintos de la divulgación de información detallada sobre la navegación, la ubicación o las conversaciones de un menor.</w:t>
      </w:r>
    </w:p>
    <w:p>
      <w:pPr>
        <w:widowControl/>
      </w:pPr>
      <w:r>
        <w:rPr>
          <w:b/>
          <w:color w:val="000000"/>
          <w:lang w:val="es-ES"/>
        </w:rPr>
        <w:t xml:space="preserve">Información general sobre el uso. </w:t>
      </w:r>
      <w:r>
        <w:rPr>
          <w:color w:val="000000"/>
          <w:lang w:val="es-ES"/>
        </w:rPr>
        <w:t>Utilizamos información general de uso para comprender los patrones globales y compartimos patrones de uso a nivel de proyecto con el socio comercial pertinente. Estos informes se refieren al proyecto en su conjunto, no al análisis de un cliente individual. La agregación no equivale automáticamente a una anonimización irreversible: si la información sigue siendo identificable o vinculable a una persona, continúan aplicándose las normas de protección de datos, la base jurídica y los límites de conservación pertinentes.</w:t>
      </w:r>
    </w:p>
    <w:p>
      <w:pPr>
        <w:widowControl/>
      </w:pPr>
      <w:r>
        <w:rPr>
          <w:b/>
          <w:color w:val="000000"/>
          <w:lang w:val="es-ES"/>
        </w:rPr>
        <w:t xml:space="preserve">Seguridad y prevención del uso indebido. </w:t>
      </w:r>
      <w:r>
        <w:rPr>
          <w:color w:val="000000"/>
          <w:lang w:val="es-ES"/>
        </w:rPr>
        <w:t>Tratamos información técnica y de la cuenta de forma proporcionada para proteger las cuentas y el Servicio e investigar usos indebidos. Cuando corresponda, esto se basa en nuestro interés legítimo en mantener un servicio seguro conforme al artículo 6, apartado 1, letra f), con garantías para proteger a los usuarios, especialmente a los menores. Cuando una obligación específica del Derecho de la UE o de un Estado miembro exige el tratamiento, se aplica el artículo 6, apartado 1, letra c).</w:t>
      </w:r>
    </w:p>
    <w:p>
      <w:pPr>
        <w:widowControl/>
      </w:pPr>
      <w:r>
        <w:rPr>
          <w:b/>
          <w:color w:val="000000"/>
          <w:lang w:val="es-ES"/>
        </w:rPr>
        <w:t xml:space="preserve">Asistencia y controversias. </w:t>
      </w:r>
      <w:r>
        <w:rPr>
          <w:color w:val="000000"/>
          <w:lang w:val="es-ES"/>
        </w:rPr>
        <w:t>El tratamiento necesario para responder a una solicitud de servicio de una persona adulta contratante se basa en el artículo 6, apartado 1, letra b). El tratamiento proporcionado para investigar reclamaciones, establecer los hechos o defender pretensiones jurídicas puede basarse en el artículo 6, apartado 1, letra f). La información conservada para cumplir una obligación aplicable del Derecho de la UE o de un Estado miembro se trata conforme al artículo 6, apartado 1, letra c). Identificamos la obligación legal pertinente cuando esta constituye la base. También conservamos los registros financieros limitados necesarios para una administración financiera exacta y el cumplimiento de los requisitos contables israelíes aplicables, como se describe en la sección 7. Una obligación israelí no establece, por sí sola, una base conforme al artículo 6, apartado 1, letra c), del RGPD.</w:t>
      </w:r>
    </w:p>
    <w:p>
      <w:pPr>
        <w:widowControl/>
      </w:pPr>
      <w:r>
        <w:rPr>
          <w:b/>
          <w:color w:val="000000"/>
          <w:lang w:val="es-ES"/>
        </w:rPr>
        <w:t xml:space="preserve">Análisis de protección y sistemas de detección. </w:t>
      </w:r>
      <w:r>
        <w:rPr>
          <w:color w:val="000000"/>
          <w:lang w:val="es-ES"/>
        </w:rPr>
        <w:t>Los datos detallados de actividad del menor se utilizan para el Servicio de protección infantil, no para una finalidad ajena a este ni para el uso propio de un servicio externo. Los informes de adopción a nivel de cuenta y la información general a nivel de proyecto se describen por separado más arriba. La información seudonimizada o codificada sigue siendo dato personal cuando puede vincularse a alguien. Los límites de conservación de la sección 7, incluidos el límite de 30 días en los sistemas activos y el período independiente de copias de seguridad, no se amplían por describir un conjunto de datos como datos de entrenamiento o evaluación.</w:t>
      </w:r>
    </w:p>
    <w:p>
      <w:pPr>
        <w:widowControl/>
      </w:pPr>
      <w:r>
        <w:rPr>
          <w:b/>
          <w:color w:val="000000"/>
          <w:lang w:val="es-ES"/>
        </w:rPr>
        <w:t xml:space="preserve">Comunicaciones opcionales y tecnologías del sitio web. </w:t>
      </w:r>
      <w:r>
        <w:rPr>
          <w:color w:val="000000"/>
          <w:lang w:val="es-ES"/>
        </w:rPr>
        <w:t>Cuando enviamos comunicaciones promocionales opcionales o utilizamos cookies no esenciales o tecnologías similares, obtenemos el consentimiento cuando es obligatorio y ofrecemos una forma efectiva de denegarlo o retirarlo. Los avisos de servicio necesarios para el funcionamiento de una cuenta son distintos de las comunicaciones comerciales.</w:t>
      </w:r>
    </w:p>
    <w:p>
      <w:pPr>
        <w:pStyle w:val="Heading1"/>
        <w:pageBreakBefore w:val="0"/>
        <w:widowControl/>
      </w:pPr>
      <w:r>
        <w:rPr>
          <w:color w:val="000000"/>
          <w:lang w:val="es-ES"/>
        </w:rPr>
        <w:t>4 Menores y otras personas en las comunicaciones</w:t>
      </w:r>
    </w:p>
    <w:p>
      <w:pPr>
        <w:widowControl/>
      </w:pPr>
      <w:r>
        <w:rPr>
          <w:color w:val="000000"/>
          <w:lang w:val="es-ES"/>
        </w:rPr>
        <w:t>Las funciones de protección infantil requieren especial cuidado porque la información puede ser muy privada y revelar datos sobre salud, religión, origen étnico, sexualidad u otras categorías especiales. El mero hecho de encontrar esta información no elimina la necesidad de evaluar el artículo 9 del RGPD y cualquier otra restricción aplicable. Solo tratamos esta información cuando lo permiten la base jurídica aplicable y cualquier condición adicional exigida.</w:t>
      </w:r>
    </w:p>
    <w:p>
      <w:pPr>
        <w:widowControl/>
      </w:pPr>
      <w:r>
        <w:rPr>
          <w:color w:val="000000"/>
          <w:lang w:val="es-ES"/>
        </w:rPr>
        <w:t>El permiso de un progenitor no sustituye la evaluación de los derechos del menor, la necesidad, la proporcionalidad y su interés superior. Los menores tienen derecho a información adecuada a su edad y a garantías adaptadas a la función y a sus circunstancias. La persona adulta debe explicar la supervisión de forma apropiada y no debe utilizar el Servicio para una vigilancia no autorizada.</w:t>
      </w:r>
    </w:p>
    <w:p>
      <w:pPr>
        <w:widowControl/>
      </w:pPr>
      <w:r>
        <w:rPr>
          <w:color w:val="000000"/>
          <w:lang w:val="es-ES"/>
        </w:rPr>
        <w:t>Cuando un servicio se ofrece directamente a un menor y el tratamiento se basa en el consentimiento, se aplican el umbral de edad y las normas de autorización parental de la legislación local correspondiente. Estas normas no autorizan automáticamente todas las formas de supervisión dirigida por los progenitores.</w:t>
      </w:r>
    </w:p>
    <w:p>
      <w:pPr>
        <w:widowControl/>
      </w:pPr>
      <w:r>
        <w:rPr>
          <w:color w:val="000000"/>
          <w:lang w:val="es-ES"/>
        </w:rPr>
        <w:t>Las comunicaciones pueden contener información sobre otras personas. Limitamos la recopilación, el acceso y la divulgación a lo necesario para la finalidad de protección aprobada y aplicamos las obligaciones de transparencia pertinentes para la información que no se obtiene directamente de la persona interesada.</w:t>
      </w:r>
    </w:p>
    <w:p>
      <w:pPr>
        <w:widowControl/>
      </w:pPr>
      <w:r>
        <w:rPr>
          <w:color w:val="000000"/>
          <w:lang w:val="es-ES"/>
        </w:rPr>
        <w:t>La información destinada a los menores debe leerse y explicarse en un idioma y de una manera que puedan comprender antes de activar la supervisión.</w:t>
      </w:r>
    </w:p>
    <w:p>
      <w:pPr>
        <w:pStyle w:val="Heading1"/>
        <w:pageBreakBefore w:val="0"/>
        <w:widowControl/>
      </w:pPr>
      <w:r>
        <w:rPr>
          <w:color w:val="000000"/>
          <w:lang w:val="es-ES"/>
        </w:rPr>
        <w:t>5 Quién recibe la información</w:t>
      </w:r>
    </w:p>
    <w:p>
      <w:pPr>
        <w:widowControl/>
      </w:pPr>
      <w:r>
        <w:rPr>
          <w:color w:val="000000"/>
          <w:lang w:val="es-ES"/>
        </w:rPr>
        <w:t>El progenitor autorizado puede recibir la información y las alertas que proporcionen las funciones activadas. El acceso a la cuenta está limitado a las personas debidamente autorizadas. Los progenitores deben explicar qué información será visible antes de activar una función.</w:t>
      </w:r>
    </w:p>
    <w:p>
      <w:pPr>
        <w:widowControl/>
      </w:pPr>
      <w:r>
        <w:rPr>
          <w:color w:val="000000"/>
          <w:lang w:val="es-ES"/>
        </w:rPr>
        <w:t>Los proveedores de servicios técnicos pueden tratar información siguiendo nuestras instrucciones cuando sea necesario para operar el Servicio, incluido el alojamiento en AWS. Exigimos garantías contractuales y de seguridad adecuadas a su función. No se les permite utilizar los datos de actividad para sus propios servicios o fines independientes. Esto es distinto de poner información de protección a disposición del progenitor autorizado dentro del Servicio.</w:t>
      </w:r>
    </w:p>
    <w:p>
      <w:pPr>
        <w:widowControl/>
      </w:pPr>
      <w:r>
        <w:rPr>
          <w:color w:val="000000"/>
          <w:lang w:val="es-ES"/>
        </w:rPr>
        <w:t>Para una oferta distribuida por un socio comercial, la comunicación de información se limita a los fines pertinentes de administración del servicio y elaboración de informes. Una relación comercial no da a un banco, una aseguradora o un distribuidor acceso irrestricto a la ubicación, los mensajes o la actividad de un menor.</w:t>
      </w:r>
    </w:p>
    <w:p>
      <w:pPr>
        <w:widowControl/>
      </w:pPr>
      <w:r>
        <w:rPr>
          <w:color w:val="000000"/>
          <w:lang w:val="es-ES"/>
        </w:rPr>
        <w:t>El socio comercial pertinente recibe datos de la cuenta y de la licencia, el estado de uso o no uso vinculado a la cuenta para conocer la adopción del servicio y patrones generales de uso a nivel de proyecto. Los informes de adopción vinculados a una cuenta y los informes a nivel de proyecto son divulgaciones diferentes. Estos últimos no son un análisis de clientes individuales; ninguno de los dos tipos se describe como anónimo por el mero hecho de llamarlo estadística. El socio comercial pertinente es la organización que participa en el suministro o la administración de su oferta.</w:t>
      </w:r>
    </w:p>
    <w:p>
      <w:pPr>
        <w:widowControl/>
      </w:pPr>
      <w:r>
        <w:rPr>
          <w:color w:val="000000"/>
          <w:lang w:val="es-ES"/>
        </w:rPr>
        <w:t>Los datos detallados de actividad de los menores se utilizan para su protección y no se proporcionan a servicios externos para su uso propio. El alojamiento técnico y el acceso del progenitor autorizado forman parte de la operación del Servicio, no son usos externos independientes.</w:t>
      </w:r>
    </w:p>
    <w:p>
      <w:pPr>
        <w:widowControl/>
      </w:pPr>
      <w:r>
        <w:rPr>
          <w:color w:val="000000"/>
          <w:lang w:val="es-ES"/>
        </w:rPr>
        <w:t>Podemos divulgar información cuando lo exija la legislación aplicable o un procedimiento legal válido, o cuando sea necesario y lícito para formular o defender pretensiones jurídicas. Una operación societaria no elimina las obligaciones de protección de datos: toda transferencia debe contar con una base jurídica, garantías adecuadas y los avisos exigidos por la ley.</w:t>
      </w:r>
    </w:p>
    <w:p>
      <w:pPr>
        <w:widowControl/>
      </w:pPr>
      <w:r>
        <w:rPr>
          <w:color w:val="000000"/>
          <w:lang w:val="es-ES"/>
        </w:rPr>
        <w:t>No vendemos datos personales ni utilizamos la información de supervisión de los menores para publicidad dirigida.</w:t>
      </w:r>
    </w:p>
    <w:p>
      <w:pPr>
        <w:pStyle w:val="Heading1"/>
        <w:pageBreakBefore w:val="0"/>
        <w:widowControl/>
      </w:pPr>
      <w:r>
        <w:rPr>
          <w:color w:val="000000"/>
          <w:lang w:val="es-ES"/>
        </w:rPr>
        <w:t>6 Transferencias internacionales</w:t>
      </w:r>
    </w:p>
    <w:p>
      <w:pPr>
        <w:widowControl/>
      </w:pPr>
      <w:r>
        <w:rPr>
          <w:color w:val="000000"/>
          <w:lang w:val="es-ES"/>
        </w:rPr>
        <w:t>PureSight tiene su sede en Israel. Los datos de los clientes europeos se alojan en servidores de AWS en Europa. PureSight también utiliza servidores en Estados Unidos para otros fines; este hecho no significa que los datos de los clientes europeos se alojen allí. El alojamiento dentro del EEE no excluye por sí mismo las transferencias derivadas del acceso remoto u otras operaciones de tratamiento. El tratamiento fuera de su país sigue sujeto a las garantías exigidas por la legislación aplicable.</w:t>
      </w:r>
    </w:p>
    <w:p>
      <w:pPr>
        <w:widowControl/>
      </w:pPr>
      <w:r>
        <w:rPr>
          <w:color w:val="000000"/>
          <w:lang w:val="es-ES"/>
        </w:rPr>
        <w:t>Cuando la Comisión Europea haya reconocido un nivel adecuado de protección, podemos basarnos en esa decisión dentro de su ámbito de aplicación. Para una transferencia no cubierta por una decisión de adecuación, utilizamos un mecanismo aplicable del capítulo V del RGPD, como las cláusulas contractuales tipo de la Comisión Europea, junto con cualquier evaluación y medida complementaria necesarias. La ubicación de la sede de un proveedor no determina por sí sola dónde se tratan los datos o desde dónde se accede a ellos de forma remota.</w:t>
      </w:r>
    </w:p>
    <w:p>
      <w:pPr>
        <w:widowControl/>
      </w:pPr>
      <w:r>
        <w:rPr>
          <w:color w:val="000000"/>
          <w:lang w:val="es-ES"/>
        </w:rPr>
        <w:t>Puede contactar con nosotros mediante los datos de la sección 1 para solicitar información sobre las garantías aplicables a las transferencias y cómo obtener una copia.</w:t>
      </w:r>
    </w:p>
    <w:p>
      <w:pPr>
        <w:pStyle w:val="Heading1"/>
        <w:pageBreakBefore w:val="0"/>
        <w:widowControl/>
      </w:pPr>
      <w:r>
        <w:rPr>
          <w:color w:val="000000"/>
          <w:lang w:val="es-ES"/>
        </w:rPr>
        <w:t>7 Durante cuánto tiempo conservamos la información</w:t>
      </w:r>
    </w:p>
    <w:p>
      <w:pPr>
        <w:widowControl/>
      </w:pPr>
      <w:r>
        <w:rPr>
          <w:color w:val="000000"/>
          <w:lang w:val="es-ES"/>
        </w:rPr>
        <w:t>Conservamos los datos identificables únicamente durante el tiempo necesario para la finalidad indicada y cualquier exigencia legal aplicable. Un período de conservación se cuenta a partir del suceso pertinente, como la recopilación, el cierre de la cuenta o la resolución de una solicitud de asistencia.</w:t>
      </w:r>
    </w:p>
    <w:p>
      <w:pPr>
        <w:widowControl/>
      </w:pPr>
      <w:r>
        <w:rPr>
          <w:color w:val="000000"/>
          <w:lang w:val="es-ES"/>
        </w:rPr>
        <w:t>Los datos de actividad recopilados por el Servicio, incluidos los sitios web visitados, las ubicaciones, las conversaciones en plataformas sociales admitidas, el uso de pantalla y el uso de aplicaciones, se conservan en nuestros sistemas activos durante un máximo de 30 días desde su recopilación y después se eliminan automáticamente. Dejar de utilizar el Servicio no reinicia ni amplía este ciclo; por lo tanto, cualquier dato de actividad restante en los sistemas activos se elimina dentro de los 30 días siguientes a su salida. Estos datos se utilizan únicamente para prestar el Servicio de protección infantil.</w:t>
      </w:r>
    </w:p>
    <w:p>
      <w:pPr>
        <w:widowControl/>
      </w:pPr>
      <w:r>
        <w:rPr>
          <w:color w:val="000000"/>
          <w:lang w:val="es-ES"/>
        </w:rPr>
        <w:t>Realizamos copias de seguridad de nuestras bases de datos a diario. Las copias de seguridad rutinarias se conservan durante 14 días y después se eliminan. Las copias de los datos de actividad pueden permanecer en esas copias de seguridad hasta 14 días adicionales después de su eliminación de los sistemas activos.</w:t>
      </w:r>
    </w:p>
    <w:p>
      <w:pPr>
        <w:widowControl/>
      </w:pPr>
      <w:r>
        <w:rPr>
          <w:color w:val="000000"/>
          <w:lang w:val="es-ES"/>
        </w:rPr>
        <w:t>La información a nivel de cuenta, incluidos los registros de cuenta y licencia, las políticas y sus configuraciones, se conserva mientras exista la cuenta. Dejar de utilizar el Servicio no elimina automáticamente los datos ni la configuración de la cuenta: conforme al proceso actual, esos registros permanecen salvo que usted solicite expresamente su eliminación. Esto no autoriza una conservación que exceda lo necesario y lícito. Determinados registros financieros o contables pueden seguir sujetos a una obligación legal independiente de conservación; esto no justifica, por sí solo, conservar toda la configuración de la cuenta o los datos de actividad.</w:t>
      </w:r>
    </w:p>
    <w:p>
      <w:pPr>
        <w:widowControl/>
      </w:pPr>
      <w:r>
        <w:rPr>
          <w:color w:val="000000"/>
          <w:lang w:val="es-ES"/>
        </w:rPr>
        <w:t>Cuando se aplican los requisitos contables israelíes, conservamos los registros contables necesarios para cumplirlos, como facturas, recibos y datos relacionados de pagos y facturación, hasta la fecha más tardía de las siguientes: siete años después del final del ejercicio fiscal correspondiente o seis años después de la presentación de la declaración del impuesto sobre la renta de ese ejercicio. Estos períodos se aplican a los registros contables pertinentes, no automáticamente a toda su cuenta de servicio, a los ajustes de control parental o al contenido supervisado. Un período de conservación adicional requiere una exigencia legal específica aplicable o una finalidad necesaria relacionada con pretensiones jurídicas, no una ampliación general de la conservación de todos los datos.</w:t>
      </w:r>
    </w:p>
    <w:p>
      <w:pPr>
        <w:widowControl/>
      </w:pPr>
      <w:r>
        <w:rPr>
          <w:color w:val="000000"/>
          <w:lang w:val="es-ES"/>
        </w:rPr>
        <w:t>Las copias de seguridad financieras se conservan durante siete años. Este período de copia de seguridad es independiente y no sustituye ni acorta el período legal de conservación de los registros contables descrito anteriormente.</w:t>
      </w:r>
    </w:p>
    <w:p>
      <w:pPr>
        <w:widowControl/>
      </w:pPr>
      <w:r>
        <w:rPr>
          <w:color w:val="000000"/>
          <w:lang w:val="es-ES"/>
        </w:rPr>
        <w:t>El cierre de una cuenta y la eliminación de una aplicación son acciones diferentes. Desinstalar el software puede detener la recopilación futura desde esa instalación, pero no borra por sí solo la información ya conservada, no cancela una suscripción ni necesariamente detiene la recopilación desde otros dispositivos vinculados.</w:t>
      </w:r>
    </w:p>
    <w:p>
      <w:pPr>
        <w:widowControl/>
      </w:pPr>
      <w:r>
        <w:rPr>
          <w:color w:val="000000"/>
          <w:lang w:val="es-ES"/>
        </w:rPr>
        <w:t>Puede solicitar la eliminación a través de support@puresight.com. Cuando debamos conservar datos limitados por una obligación legal o una pretensión jurídica válida, explicamos la excepción pertinente y restringimos los datos conservados a esa finalidad. La anonimización debe hacer que la reidentificación deje de ser razonablemente posible; eliminar únicamente un nombre no es suficiente.</w:t>
      </w:r>
    </w:p>
    <w:p>
      <w:pPr>
        <w:pStyle w:val="Heading1"/>
        <w:pageBreakBefore w:val="0"/>
        <w:widowControl/>
      </w:pPr>
      <w:r>
        <w:rPr>
          <w:color w:val="000000"/>
          <w:lang w:val="es-ES"/>
        </w:rPr>
        <w:t>8 Seguridad</w:t>
      </w:r>
    </w:p>
    <w:p>
      <w:pPr>
        <w:widowControl/>
      </w:pPr>
      <w:r>
        <w:rPr>
          <w:color w:val="000000"/>
          <w:lang w:val="es-ES"/>
        </w:rPr>
        <w:t>Aplicamos medidas técnicas y organizativas adecuadas a los riesgos, con especial atención a las comunicaciones y la información de ubicación de los menores. Estas medidas abarcan controles de acceso, autenticación, transmisión y almacenamiento seguros, supervisión, respuesta a incidentes y gestión de proveedores, según corresponda al tratamiento.</w:t>
      </w:r>
    </w:p>
    <w:p>
      <w:pPr>
        <w:widowControl/>
      </w:pPr>
      <w:r>
        <w:rPr>
          <w:color w:val="000000"/>
          <w:lang w:val="es-ES"/>
        </w:rPr>
        <w:t>Ningún servicio puede prometer una seguridad absoluta. Esto no reduce nuestras obligaciones legales de proteger los datos personales ni de notificar a una autoridad de control y a las personas afectadas cuando se cumplan las condiciones legales de notificación.</w:t>
      </w:r>
    </w:p>
    <w:p>
      <w:pPr>
        <w:pStyle w:val="Heading1"/>
        <w:pageBreakBefore w:val="0"/>
        <w:widowControl/>
      </w:pPr>
      <w:r>
        <w:rPr>
          <w:color w:val="000000"/>
          <w:lang w:val="es-ES"/>
        </w:rPr>
        <w:t>9 Sus derechos de privacidad</w:t>
      </w:r>
    </w:p>
    <w:p>
      <w:pPr>
        <w:widowControl/>
      </w:pPr>
      <w:r>
        <w:rPr>
          <w:color w:val="000000"/>
          <w:lang w:val="es-ES"/>
        </w:rPr>
        <w:t>Según la legislación aplicable y sus condiciones, puede solicitar acceso a los datos personales y una copia de ellos; rectificación; supresión; limitación del tratamiento; y portabilidad de los datos. Los siguientes derechos y plazos de respuesta se aplican en virtud del RGPD cuando este rige el tratamiento; los demás derechos locales aplicables siguen estando disponibles. Puede oponerse al tratamiento basado en intereses legítimos por motivos relacionados con su situación particular. Puede oponerse en cualquier momento a la mercadotecnia directa, incluida la elaboración de perfiles relacionada con ella.</w:t>
      </w:r>
    </w:p>
    <w:p>
      <w:pPr>
        <w:widowControl/>
      </w:pPr>
      <w:r>
        <w:rPr>
          <w:color w:val="000000"/>
          <w:lang w:val="es-ES"/>
        </w:rPr>
        <w:t>Cuando nos basamos en el consentimiento, puede retirarlo en cualquier momento sin que ello afecte a la licitud del tratamiento anterior a la retirada. Retirarlo debe ser tan fácil como otorgarlo. Explicamos el efecto práctico sobre la función correspondiente; la retirada no exige renunciar a funciones no relacionadas.</w:t>
      </w:r>
    </w:p>
    <w:p>
      <w:pPr>
        <w:widowControl/>
      </w:pPr>
      <w:r>
        <w:rPr>
          <w:color w:val="000000"/>
          <w:lang w:val="es-ES"/>
        </w:rPr>
        <w:t>También tiene derecho a no ser objeto de una decisión basada únicamente en un tratamiento automatizado que produzca efectos jurídicos o le afecte significativamente de modo similar, salvo cuando la ley lo permita y exija garantías adecuadas.</w:t>
      </w:r>
    </w:p>
    <w:p>
      <w:pPr>
        <w:widowControl/>
      </w:pPr>
      <w:r>
        <w:rPr>
          <w:color w:val="000000"/>
          <w:lang w:val="es-ES"/>
        </w:rPr>
        <w:t>Utilice los contactos de la sección 1 para presentar una solicitud. Verificamos la identidad y la autoridad de forma proporcionada y no solicitamos documentos de identidad excesivos. Un progenitor puede actuar en nombre de un menor cuando sea jurídicamente apropiado, pero los derechos del menor no pertenecen exclusivamente al progenitor. Tenemos en cuenta la edad, la madurez, la autoridad parental y cualquier conflicto de intereses.</w:t>
      </w:r>
    </w:p>
    <w:p>
      <w:pPr>
        <w:widowControl/>
      </w:pPr>
      <w:r>
        <w:rPr>
          <w:color w:val="000000"/>
          <w:lang w:val="es-ES"/>
        </w:rPr>
        <w:t>Puede utilizar los controles disponibles en la cuenta o contactar con support@puresight.com para presentar una solicitud. La ausencia de una función concreta de exportación no limita los derechos aplicables de acceso o portabilidad.</w:t>
      </w:r>
    </w:p>
    <w:p>
      <w:pPr>
        <w:widowControl/>
      </w:pPr>
      <w:r>
        <w:rPr>
          <w:color w:val="000000"/>
          <w:lang w:val="es-ES"/>
        </w:rPr>
        <w:t>Normalmente respondemos en el plazo de un mes desde la recepción de una solicitud. Cuando la ley permita una ampliación debido a la complejidad o al número de solicitudes, la explicaremos dentro de ese primer mes. Explicaremos cualquier denegación o cargo lícito, así como las vías de reclamación y los recursos judiciales disponibles.</w:t>
      </w:r>
    </w:p>
    <w:p>
      <w:pPr>
        <w:widowControl/>
      </w:pPr>
      <w:r>
        <w:rPr>
          <w:color w:val="000000"/>
          <w:lang w:val="es-ES"/>
        </w:rPr>
        <w:t>Puede presentar una reclamación ante una autoridad de control competente, incluida la del país del EEE en el que resida habitualmente, trabaje o se haya producido una presunta infracción. No necesita presentar primero una reclamación ante nosotros y conserva el derecho a interponer un recurso judicial.</w:t>
      </w:r>
    </w:p>
    <w:p>
      <w:pPr>
        <w:pStyle w:val="Heading1"/>
        <w:pageBreakBefore w:val="0"/>
        <w:widowControl/>
      </w:pPr>
      <w:r>
        <w:rPr>
          <w:color w:val="000000"/>
          <w:lang w:val="es-ES"/>
        </w:rPr>
        <w:t>10 Análisis automatizado y alertas</w:t>
      </w:r>
    </w:p>
    <w:p>
      <w:pPr>
        <w:widowControl/>
      </w:pPr>
      <w:r>
        <w:rPr>
          <w:color w:val="000000"/>
          <w:lang w:val="es-ES"/>
        </w:rPr>
        <w:t>Cuando estén activadas, las herramientas automatizadas pueden evaluar contenidos o actividades admitidos para identificar posibles riesgos y generar clasificaciones, acciones de bloqueo o alertas. Los resultados pueden ser incorrectos o incompletos. Un progenitor debe considerar el contexto y abordar las inquietudes de forma apropiada, en lugar de tratar una alerta como prueba.</w:t>
      </w:r>
    </w:p>
    <w:p>
      <w:pPr>
        <w:pStyle w:val="Heading1"/>
        <w:pageBreakBefore w:val="0"/>
        <w:widowControl/>
      </w:pPr>
      <w:r>
        <w:rPr>
          <w:color w:val="000000"/>
          <w:lang w:val="es-ES"/>
        </w:rPr>
        <w:t>11 Cookies del sitio web y permisos del dispositivo</w:t>
      </w:r>
    </w:p>
    <w:p>
      <w:pPr>
        <w:widowControl/>
      </w:pPr>
      <w:r>
        <w:rPr>
          <w:color w:val="000000"/>
          <w:lang w:val="es-ES"/>
        </w:rPr>
        <w:t>Las tecnologías esenciales pueden ser necesarias para operar un servicio solicitado. Las cookies no esenciales, los SDK y formas similares de acceso o almacenamiento en un dispositivo requieren las opciones y el consentimiento exigidos por la legislación aplicable. Un permiso del dispositivo no constituye necesariamente consentimiento para todos los usos posteriores de la información recopilada.</w:t>
      </w:r>
    </w:p>
    <w:p>
      <w:pPr>
        <w:pStyle w:val="Heading1"/>
        <w:pageBreakBefore w:val="0"/>
        <w:widowControl/>
      </w:pPr>
      <w:r>
        <w:rPr>
          <w:color w:val="000000"/>
          <w:lang w:val="es-ES"/>
        </w:rPr>
        <w:t>12 Aportación de información y sus opciones</w:t>
      </w:r>
    </w:p>
    <w:p>
      <w:pPr>
        <w:widowControl/>
      </w:pPr>
      <w:r>
        <w:rPr>
          <w:color w:val="000000"/>
          <w:lang w:val="es-ES"/>
        </w:rPr>
        <w:t>Si no proporciona la información o los permisos necesarios para una función concreta, esa función puede no funcionar. Tiene derecho a saber qué información es obligatoria y las consecuencias de no proporcionarla. La información y el consentimiento opcionales no deben convertirse en una condición para servicios no relacionados sin una razón jurídica válida.</w:t>
      </w:r>
    </w:p>
    <w:p>
      <w:pPr>
        <w:widowControl/>
      </w:pPr>
      <w:r>
        <w:rPr>
          <w:color w:val="000000"/>
          <w:lang w:val="es-ES"/>
        </w:rPr>
        <w:t>Puede gestionar las funciones activadas y los perfiles de los menores mediante los controles disponibles en su cuenta. Contacte con asistencia para obtener ayuda con una solicitud de privacidad o si un control no está disponible. Los controles directos del menor y el acceso del progenitor siguen sujetos a los derechos legales de la persona.</w:t>
      </w:r>
    </w:p>
    <w:p>
      <w:pPr>
        <w:pStyle w:val="Heading1"/>
        <w:pageBreakBefore w:val="0"/>
        <w:widowControl/>
      </w:pPr>
      <w:r>
        <w:rPr>
          <w:color w:val="000000"/>
          <w:lang w:val="es-ES"/>
        </w:rPr>
        <w:t>13 Cambios e idioma</w:t>
      </w:r>
    </w:p>
    <w:p>
      <w:pPr>
        <w:widowControl/>
      </w:pPr>
      <w:r>
        <w:rPr>
          <w:color w:val="000000"/>
          <w:lang w:val="es-ES"/>
        </w:rPr>
        <w:t>Actualizaremos este aviso cuando cambie el tratamiento e identificaremos la fecha de entrada en vigor. Notificaremos los cambios sustanciales con la debida antelación o en el momento oportuno a través de un canal adecuado. Si una nueva finalidad requiere una nueva base jurídica o un nuevo consentimiento, la actualización del aviso por sí sola no los proporciona.</w:t>
      </w:r>
    </w:p>
    <w:p>
      <w:pPr>
        <w:widowControl/>
      </w:pPr>
      <w:r>
        <w:rPr>
          <w:color w:val="000000"/>
          <w:lang w:val="es-ES"/>
        </w:rPr>
        <w:t>Este aviso puede facilitarse en distintos idiomas. Ninguna versión lingüística limita sus derechos conforme a la legislación aplicable. Si las versiones difieren, corregiremos la discrepancia; esta no puede utilizarse para reducir sus protecciones legales.</w:t>
      </w:r>
    </w:p>
    <w:p>
      <w:pPr>
        <w:pStyle w:val="Heading1"/>
        <w:pageBreakBefore w:val="0"/>
        <w:widowControl/>
      </w:pPr>
      <w:r>
        <w:rPr>
          <w:color w:val="000000"/>
          <w:lang w:val="es-ES"/>
        </w:rPr>
        <w:t>14 Protecciones locales adicionales</w:t>
      </w:r>
    </w:p>
    <w:p>
      <w:pPr>
        <w:widowControl/>
      </w:pPr>
      <w:r>
        <w:rPr>
          <w:color w:val="000000"/>
          <w:lang w:val="es-ES"/>
        </w:rPr>
        <w:t>Si le resulta aplicable otra legislación de privacidad, conserva los derechos y las protecciones que esta le conceda. Contacte con nosotros mediante los datos de la sección 1 para que podamos atender su solicitud conforme a la legislación aplicable.</w:t>
      </w:r>
    </w:p>
    <w:p>
      <w:pPr>
        <w:widowControl/>
      </w:pPr>
      <w:r>
        <w:rPr>
          <w:color w:val="000000"/>
          <w:lang w:val="es-ES"/>
        </w:rPr>
        <w:t>Cualquier información adicional de privacidad facilitada para su país o estado explica las disposiciones locales pertinentes para su uso del Servicio. Las protecciones locales imperativas prevalecen sobre cualquier declaración incompatible de este aviso.</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PureSight Technologies Ltd © 2026  |  Versión 4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ptos" w:hAnsi="Aptos"/>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w:hAnsi="Aptos"/>
      <w:b/>
      <w:bCs/>
      <w:color w:val="000000"/>
      <w:sz w:val="28"/>
      <w:szCs w:val="28"/>
      <w:lang w:val="en-GB"/>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000000"/>
      <w:sz w:val="22"/>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Aptos" w:hAnsi="Aptos"/>
      <w:b w:val="0"/>
      <w:color w:val="000000"/>
      <w:spacing w:val="5"/>
      <w:kern w:val="28"/>
      <w:sz w:val="4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Aptos" w:hAnsi="Aptos"/>
      <w:color w:val="000000"/>
      <w:lang w:val="en-GB"/>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 de PureSight</dc:title>
  <dc:subject/>
  <dc:creator>Royi Cohen</dc:creator>
  <cp:keywords/>
  <dc:description/>
  <cp:lastModifiedBy>Royi Cohen</cp:lastModifiedBy>
  <cp:revision>1</cp:revision>
  <dcterms:created xsi:type="dcterms:W3CDTF">2013-12-23T23:15:00Z</dcterms:created>
  <dcterms:modified xsi:type="dcterms:W3CDTF">2013-12-23T23:15:00Z</dcterms:modified>
  <cp:category/>
</cp:coreProperties>
</file>