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rPr>
          <w:color w:val="000000"/>
          <w:lang w:val="es-ES"/>
        </w:rPr>
        <w:t>Acuerdo de licencia de usuario final de PureSight</w:t>
      </w:r>
    </w:p>
    <w:p>
      <w:pPr>
        <w:widowControl/>
      </w:pPr>
      <w:r>
        <w:rPr>
          <w:color w:val="000000"/>
          <w:lang w:val="es-ES"/>
        </w:rPr>
        <w:t>Versión 8. Última actualización el 29 de octubre de 2026.</w:t>
      </w:r>
    </w:p>
    <w:p>
      <w:pPr>
        <w:widowControl/>
      </w:pPr>
      <w:r>
        <w:rPr>
          <w:color w:val="000000"/>
          <w:lang w:val="es-ES"/>
        </w:rPr>
        <w:t>Estas condiciones rigen el uso que usted haga del software y los servicios digitales de PureSight, tanto si los obtiene directamente de nosotros como a través de un socio comercial. Se aplican junto con la confirmación de su pedido o activación, la descripción del plan y las condiciones locales aplicables que se le faciliten antes de la compra o activación. Un «consumidor» es una persona física que actúa con fines ajenos a su actividad comercial, empresarial, oficio o profesión; las disposiciones expresamente destinadas a consumidores se aplican cuando exista esa condición conforme a la legislación aplicable. Las secciones 16 y 17 explican cómo afectan a este acuerdo la legislación aplicable y las protecciones locales de los consumidores. Estas condiciones no sustituyen ni modifican un acuerdo entre empresas, de reventa, empresarial o de distribución negociado por separado.</w:t>
      </w:r>
    </w:p>
    <w:p>
      <w:pPr>
        <w:pStyle w:val="Heading1"/>
        <w:pageBreakBefore w:val="0"/>
        <w:widowControl/>
      </w:pPr>
      <w:r>
        <w:rPr>
          <w:color w:val="000000"/>
          <w:lang w:val="es-ES"/>
        </w:rPr>
        <w:t>1 Quién presta el servicio</w:t>
      </w:r>
    </w:p>
    <w:p>
      <w:pPr>
        <w:widowControl/>
      </w:pPr>
      <w:r>
        <w:rPr>
          <w:color w:val="000000"/>
          <w:lang w:val="es-ES"/>
        </w:rPr>
        <w:t>Este acuerdo de licencia de software se celebra entre usted y PureSight Technologies Ltd. («PureSight» o «nosotros»), cuyo domicilio de contacto es 23 Ha’atas Street, Kfar Saba 4442525, Israel. Para obtener asistencia sobre la licencia y el servicio de PureSight, escriba a support@puresight.com. El vendedor o proveedor de su compra o suscripción al servicio puede ser PureSight u otra entidad identificada en la confirmación de su pedido o activación.</w:t>
      </w:r>
    </w:p>
    <w:p>
      <w:pPr>
        <w:widowControl/>
      </w:pPr>
      <w:r>
        <w:rPr>
          <w:color w:val="000000"/>
          <w:lang w:val="es-ES"/>
        </w:rPr>
        <w:t>El «Servicio» comprende las aplicaciones PureSight o Surfie, el software, el panel de la cuenta, la documentación relacionada y las funciones en línea, incluida una versión para consumidores con la marca de un socio comercial, que se incluyan en el plan descrito antes de la activación. La descripción del plan identifica las funciones disponibles, los sistemas operativos compatibles, el límite de dispositivos, los requisitos técnicos, la duración y los cargos que correspondan.</w:t>
      </w:r>
    </w:p>
    <w:p>
      <w:pPr>
        <w:widowControl/>
      </w:pPr>
      <w:r>
        <w:rPr>
          <w:color w:val="000000"/>
          <w:lang w:val="es-ES"/>
        </w:rPr>
        <w:t>El Servicio puede venderse directamente por PureSight o a través de uno o varios niveles de socios comerciales. Un distribuidor puede suministrarlo a otro socio comercial que le venda o proporcione el Servicio a usted. La identidad de una parte situada en otro punto de esa cadena no convierte, por sí sola, a esa parte en su vendedor. La confirmación de su pedido o activación identifica a la entidad que contrata con usted la compra o suscripción y los contactos pertinentes para facturación, asistencia y cancelación. Este acuerdo rige el uso del Servicio de PureSight; no elimina las responsabilidades legales de ninguna parte ni modifica su contrato independiente con el vendedor identificado.</w:t>
      </w:r>
    </w:p>
    <w:p>
      <w:pPr>
        <w:widowControl/>
      </w:pPr>
      <w:r>
        <w:rPr>
          <w:color w:val="000000"/>
          <w:lang w:val="es-ES"/>
        </w:rPr>
        <w:t>La información sobre su oferta descrita en la sección 18 debe estar disponible antes de la compra o activación. No debe reducir derechos imperativos ni ocultar una salvedad sustancial en un documento al que usted no pueda acceder. La cadena comercial de ventas no determina quién es responsable o encargado del tratamiento de datos personales; el aviso de privacidad aplicable explica esas funciones por separado.</w:t>
      </w:r>
    </w:p>
    <w:p>
      <w:pPr>
        <w:pStyle w:val="Heading1"/>
        <w:pageBreakBefore w:val="0"/>
        <w:widowControl/>
      </w:pPr>
      <w:r>
        <w:rPr>
          <w:color w:val="000000"/>
          <w:lang w:val="es-ES"/>
        </w:rPr>
        <w:t>2 Aceptación y requisitos para ser titular de una cuenta</w:t>
      </w:r>
    </w:p>
    <w:p>
      <w:pPr>
        <w:widowControl/>
      </w:pPr>
      <w:r>
        <w:rPr>
          <w:color w:val="000000"/>
          <w:lang w:val="es-ES"/>
        </w:rPr>
        <w:t>Lea estas condiciones antes de aceptarlas. Pondremos a su disposición la versión aplicable para que pueda guardarla o descargarla. La aceptación de este acuerdo es independiente de cualquier consentimiento que se solicite para tratar datos personales.</w:t>
      </w:r>
    </w:p>
    <w:p>
      <w:pPr>
        <w:widowControl/>
      </w:pPr>
      <w:r>
        <w:rPr>
          <w:color w:val="000000"/>
          <w:lang w:val="es-ES"/>
        </w:rPr>
        <w:t>El titular de la cuenta debe ser una persona adulta con capacidad para celebrar este acuerdo. Solo puede utilizar las funciones de protección infantil si es el padre, la madre o una persona con responsabilidad parental legal u otra autoridad jurídicamente válida. No utilice el Servicio para supervisar en secreto a otra persona adulta, una pareja, un empleado o cualquier otra persona a la que no tenga derecho legal a supervisar.</w:t>
      </w:r>
    </w:p>
    <w:p>
      <w:pPr>
        <w:widowControl/>
      </w:pPr>
      <w:r>
        <w:rPr>
          <w:color w:val="000000"/>
          <w:lang w:val="es-ES"/>
        </w:rPr>
        <w:t>Mantenga actualizados los datos de su cuenta y proteja sus credenciales. Informe al servicio de asistencia sin demora si sospecha que se ha producido un acceso no autorizado. Usted no es automáticamente responsable de la actividad causada por un incumplimiento nuestro ni de las pérdidas que la legislación aplicable no le atribuya.</w:t>
      </w:r>
    </w:p>
    <w:p>
      <w:pPr>
        <w:pStyle w:val="Heading1"/>
        <w:pageBreakBefore w:val="0"/>
        <w:widowControl/>
      </w:pPr>
      <w:r>
        <w:rPr>
          <w:color w:val="000000"/>
          <w:lang w:val="es-ES"/>
        </w:rPr>
        <w:t>3 Licencia y uso permitido</w:t>
      </w:r>
    </w:p>
    <w:p>
      <w:pPr>
        <w:widowControl/>
      </w:pPr>
      <w:r>
        <w:rPr>
          <w:color w:val="000000"/>
          <w:lang w:val="es-ES"/>
        </w:rPr>
        <w:t>Durante el período acordado, le concedemos una licencia no exclusiva para instalar y utilizar el Servicio con fines personales o familiares, o para otro uso expresamente autorizado en su pedido o en un acuerdo independiente, en el número de dispositivos incluido en su plan. La licencia está sujeta a este acuerdo y no transfiere la propiedad de nuestro software.</w:t>
      </w:r>
    </w:p>
    <w:p>
      <w:pPr>
        <w:widowControl/>
      </w:pPr>
      <w:r>
        <w:rPr>
          <w:color w:val="000000"/>
          <w:lang w:val="es-ES"/>
        </w:rPr>
        <w:t>Puede realizar las copias de la documentación y las copias de seguridad del software que sean razonablemente necesarias para el uso permitido o que autorice la ley. No puede vender, alquilar, sublicenciar ni redistribuir comercialmente el Servicio, eludir los controles de acceso, introducir software malicioso, interferir con otros usuarios ni utilizarlo de forma ilícita.</w:t>
      </w:r>
    </w:p>
    <w:p>
      <w:pPr>
        <w:widowControl/>
      </w:pPr>
      <w:r>
        <w:rPr>
          <w:color w:val="000000"/>
          <w:lang w:val="es-ES"/>
        </w:rPr>
        <w:t>No puede realizar ingeniería inversa, descompilar ni modificar el software, salvo cuando lo permita la legislación aplicable, incluidos los derechos imperativos relativos a interoperabilidad, corrección de errores, observación, estudio o pruebas. Ninguna disposición de este acuerdo prohíbe las críticas lícitas, las reseñas de consumidores, la investigación de seguridad ni el ejercicio de derechos que no puedan restringirse legalmente.</w:t>
      </w:r>
    </w:p>
    <w:p>
      <w:pPr>
        <w:pStyle w:val="Heading1"/>
        <w:pageBreakBefore w:val="0"/>
        <w:widowControl/>
      </w:pPr>
      <w:r>
        <w:rPr>
          <w:color w:val="000000"/>
          <w:lang w:val="es-ES"/>
        </w:rPr>
        <w:t>4 Protección infantil y uso responsable</w:t>
      </w:r>
    </w:p>
    <w:p>
      <w:pPr>
        <w:widowControl/>
      </w:pPr>
      <w:r>
        <w:rPr>
          <w:color w:val="000000"/>
          <w:lang w:val="es-ES"/>
        </w:rPr>
        <w:t>Explique las funciones pertinentes al menor con un lenguaje adecuado a su edad y madurez. Respete su privacidad, su autonomía en desarrollo y sus derechos legales, así como los derechos de otras personas cuya información pueda aparecer en las comunicaciones.</w:t>
      </w:r>
    </w:p>
    <w:p>
      <w:pPr>
        <w:widowControl/>
      </w:pPr>
      <w:r>
        <w:rPr>
          <w:color w:val="000000"/>
          <w:lang w:val="es-ES"/>
        </w:rPr>
        <w:t>Active únicamente las funciones y los permisos que sean apropiados y lícitos para el menor y el dispositivo en cuestión. La aceptación de estas condiciones por parte de un progenitor no constituye, por sí sola, una base jurídica para todas las operaciones de tratamiento. La Política de privacidad explica el tratamiento pertinente y los controles disponibles.</w:t>
      </w:r>
    </w:p>
    <w:p>
      <w:pPr>
        <w:widowControl/>
      </w:pPr>
      <w:r>
        <w:rPr>
          <w:color w:val="000000"/>
          <w:lang w:val="es-ES"/>
        </w:rPr>
        <w:t>PureSight prestará el Servicio con competencia y diligencia razonables, de acuerdo con las funcionalidades acordadas y los requisitos legales de conformidad aplicables. El Servicio ayuda a la supervisión parental. No garantiza la detección, clasificación, bloqueo, prevención o notificación de todos los contenidos, interacciones o sucesos perjudiciales. Algunos riesgos pueden pasar inadvertidos, y las alertas pueden ser tardías, incompletas o incorrectas. El Servicio no sustituye una supervisión parental adecuada ni es un servicio de respuesta a emergencias. Si alguien se encuentra en peligro inmediato, contacte con el servicio de emergencias correspondiente.</w:t>
      </w:r>
    </w:p>
    <w:p>
      <w:pPr>
        <w:widowControl/>
      </w:pPr>
      <w:r>
        <w:rPr>
          <w:color w:val="000000"/>
          <w:lang w:val="es-ES"/>
        </w:rPr>
        <w:t>Estas limitaciones describen la naturaleza del Servicio. No excluyen nuestra responsabilidad de proporcionar las funciones y la calidad prometidas ni los recursos que le reconoce la ley.</w:t>
      </w:r>
    </w:p>
    <w:p>
      <w:pPr>
        <w:pStyle w:val="Heading1"/>
        <w:pageBreakBefore w:val="0"/>
        <w:widowControl/>
      </w:pPr>
      <w:r>
        <w:rPr>
          <w:color w:val="000000"/>
          <w:lang w:val="es-ES"/>
        </w:rPr>
        <w:t>5 Funciones y requisitos técnicos</w:t>
      </w:r>
    </w:p>
    <w:p>
      <w:pPr>
        <w:widowControl/>
      </w:pPr>
      <w:r>
        <w:rPr>
          <w:color w:val="000000"/>
          <w:lang w:val="es-ES"/>
        </w:rPr>
        <w:t>Las funcionalidades pueden variar según el producto, el dispositivo, la versión del sistema operativo, la conexión de red, los permisos y las restricciones de plataformas de terceros. La descripción del plan y la información de compatibilidad facilitadas antes de la compra o activación forman parte del Servicio acordado.</w:t>
      </w:r>
    </w:p>
    <w:p>
      <w:pPr>
        <w:widowControl/>
      </w:pPr>
      <w:r>
        <w:rPr>
          <w:color w:val="000000"/>
          <w:lang w:val="es-ES"/>
        </w:rPr>
        <w:t>PureSight ofrece compatibilidad con las dos versiones más recientes de los sistemas operativos admitidos y las dos versiones más recientes de sus aplicaciones o software de sistema. Identificaremos las versiones admitidas pertinentes en la información de compatibilidad aplicable. La publicación de una nueva versión no autoriza, por sí sola, la interrupción inmediata del Servicio ni reduce nuestras obligaciones de suministro acordadas, de actualizaciones de seguridad o de conformidad legal.</w:t>
      </w:r>
    </w:p>
    <w:p>
      <w:pPr>
        <w:widowControl/>
      </w:pPr>
      <w:r>
        <w:rPr>
          <w:color w:val="000000"/>
          <w:lang w:val="es-ES"/>
        </w:rPr>
        <w:t>Usted es responsable de disponer de un dispositivo y una conexión compatibles cuando se le haya informado de ello con antelación. Explicaremos los permisos necesarios para una función y las consecuencias de no activarlos. Un cambio en una plataforma de terceros no elimina automáticamente ningún recurso que le corresponda por falta de conformidad.</w:t>
      </w:r>
    </w:p>
    <w:p>
      <w:pPr>
        <w:pStyle w:val="Heading1"/>
        <w:pageBreakBefore w:val="0"/>
        <w:widowControl/>
      </w:pPr>
      <w:r>
        <w:rPr>
          <w:color w:val="000000"/>
          <w:lang w:val="es-ES"/>
        </w:rPr>
        <w:t>6 Precio duración y renovación</w:t>
      </w:r>
    </w:p>
    <w:p>
      <w:pPr>
        <w:widowControl/>
      </w:pPr>
      <w:r>
        <w:rPr>
          <w:color w:val="000000"/>
          <w:lang w:val="es-ES"/>
        </w:rPr>
        <w:t>Antes de que contrate una suscripción de pago, el vendedor debe facilitar el precio total, incluidos los impuestos aplicables, la frecuencia de facturación, el plazo inicial, cualquier compromiso mínimo, las condiciones de renovación y un método claro de cancelación. Toda prueba debe indicar su duración, qué ocurre cuando termina y si va seguida de una suscripción de pago expresamente acordada.</w:t>
      </w:r>
    </w:p>
    <w:p>
      <w:pPr>
        <w:widowControl/>
      </w:pPr>
      <w:r>
        <w:rPr>
          <w:color w:val="000000"/>
          <w:lang w:val="es-ES"/>
        </w:rPr>
        <w:t>Este acuerdo no autoriza por sí mismo ningún cargo ni renovación automática. Los cargos y la renovación se aplican únicamente tal como se hayan comunicado claramente y acordado en su pedido. No añadiremos ningún servicio opcional de pago sin su consentimiento.</w:t>
      </w:r>
    </w:p>
    <w:p>
      <w:pPr>
        <w:widowControl/>
      </w:pPr>
      <w:r>
        <w:rPr>
          <w:color w:val="000000"/>
          <w:lang w:val="es-ES"/>
        </w:rPr>
        <w:t>Puede desactivar la renovación mediante el método indicado en el pedido o en la interfaz de la cuenta, o contactar con el vendedor identificado para obtener ayuda. La desactivación de la renovación normalmente mantiene el acceso hasta que finalice el período pagado, salvo que su pedido prevea un resultado más favorable o la ley exija otra cosa. Los derechos legales de desistimiento, reembolso y resolución siguen siendo independientes.</w:t>
      </w:r>
    </w:p>
    <w:p>
      <w:pPr>
        <w:pStyle w:val="Heading1"/>
        <w:pageBreakBefore w:val="0"/>
        <w:widowControl/>
      </w:pPr>
      <w:r>
        <w:rPr>
          <w:color w:val="000000"/>
          <w:lang w:val="es-ES"/>
        </w:rPr>
        <w:t>7 Actualizaciones y cambios en el Servicio</w:t>
      </w:r>
    </w:p>
    <w:p>
      <w:pPr>
        <w:widowControl/>
      </w:pPr>
      <w:r>
        <w:rPr>
          <w:color w:val="000000"/>
          <w:lang w:val="es-ES"/>
        </w:rPr>
        <w:t>Proporcionaremos las actualizaciones, incluidas las de seguridad, necesarias para mantener la conformidad del Servicio durante el período exigido por la legislación aplicable y el período de suministro acordado. La información precontractual indicará cualquier período mínimo de actualizaciones de software que hayamos comunicado al vendedor, expresado como duración o fecha de finalización. Explicaremos cuándo está disponible una actualización y las consecuencias de no instalarla. Si no instala una actualización en un plazo razonable, cualquier limitación de nuestra responsabilidad solo se aplicará cuando se cumplan las condiciones legales.</w:t>
      </w:r>
    </w:p>
    <w:p>
      <w:pPr>
        <w:widowControl/>
      </w:pPr>
      <w:r>
        <w:rPr>
          <w:color w:val="000000"/>
          <w:lang w:val="es-ES"/>
        </w:rPr>
        <w:t>Además de los cambios necesarios para mantener la conformidad, solo podremos modificar el Servicio por un motivo válido aquí indicado: adaptarnos a cambios en la legislación o la tecnología, mantener la seguridad, responder a cambios en las plataformas admitidas o mejorar las funcionalidades. Un cambio de este tipo no debe imponer un cargo adicional.</w:t>
      </w:r>
    </w:p>
    <w:p>
      <w:pPr>
        <w:widowControl/>
      </w:pPr>
      <w:r>
        <w:rPr>
          <w:color w:val="000000"/>
          <w:lang w:val="es-ES"/>
        </w:rPr>
        <w:t>Explicaremos los cambios con claridad. Para un consumidor del Espacio Económico Europeo (EEE), si una modificación afecta negativamente al acceso al Servicio o a su uso en un grado que no sea meramente menor, lo notificaremos con una antelación razonable en un soporte duradero, describiendo el cambio, el momento en que se producirá y el derecho aplicable a resolver el contrato sin cargo. Puede ejercer ese derecho en un plazo de 30 días desde que reciba la información o desde la modificación, lo que ocurra más tarde, salvo que le permitamos conservar el Servicio sin cambios y conforme al contrato, sin costo adicional. Los demás derechos imperativos no se ven afectados.</w:t>
      </w:r>
      <w:r>
        <w:rPr>
          <w:color w:val="000000"/>
          <w:lang w:val="es-ES"/>
        </w:rPr>
        <w:t xml:space="preserve"> Los cambios realizados de conformidad con esta sección no requieren una nueva aceptación de este acuerdo, salvo que la legislación aplicable lo exija.</w:t>
      </w:r>
    </w:p>
    <w:p>
      <w:pPr>
        <w:pStyle w:val="Heading1"/>
        <w:pageBreakBefore w:val="0"/>
        <w:widowControl/>
      </w:pPr>
      <w:r>
        <w:rPr>
          <w:color w:val="000000"/>
          <w:lang w:val="es-ES"/>
        </w:rPr>
        <w:t>8 Calidad y recursos legales</w:t>
      </w:r>
    </w:p>
    <w:p>
      <w:pPr>
        <w:widowControl/>
      </w:pPr>
      <w:r>
        <w:rPr>
          <w:color w:val="000000"/>
          <w:lang w:val="es-ES"/>
        </w:rPr>
        <w:t>Debemos proporcionar el Servicio de acuerdo con el contrato y la legislación aplicable, incluidos los requisitos aplicables de funcionalidad, compatibilidad, accesibilidad, continuidad y seguridad.</w:t>
      </w:r>
    </w:p>
    <w:p>
      <w:pPr>
        <w:widowControl/>
      </w:pPr>
      <w:r>
        <w:rPr>
          <w:color w:val="000000"/>
          <w:lang w:val="es-ES"/>
        </w:rPr>
        <w:t>Si el Servicio no se suministra o no es conforme al contrato, puede tener derecho a que se suministre o se ponga en conformidad sin cargo, en un plazo razonable y sin inconvenientes significativos. Cuando se cumplan las condiciones legales, puede tener derecho, en su lugar, a una reducción proporcional del precio o a la resolución del contrato y el reembolso.</w:t>
      </w:r>
    </w:p>
    <w:p>
      <w:pPr>
        <w:widowControl/>
      </w:pPr>
      <w:r>
        <w:rPr>
          <w:color w:val="000000"/>
          <w:lang w:val="es-ES"/>
        </w:rPr>
        <w:t>Una garantía comercial, un acuerdo de asistencia o una prueba gratuita no sustituyen ni reducen sus derechos legales. En particular, estas condiciones no imponen un límite universal de 12 meses ni convierten el mantenimiento en su único recurso. Los derechos aplicables a los contenidos y servicios digitales también pueden proteger un acuerdo en el que se proporcionen datos personales en lugar de dinero, cuando se cumplan las condiciones legales.</w:t>
      </w:r>
    </w:p>
    <w:p>
      <w:pPr>
        <w:widowControl/>
      </w:pPr>
      <w:r>
        <w:rPr>
          <w:color w:val="000000"/>
          <w:lang w:val="es-ES"/>
        </w:rPr>
        <w:t>Contacte con support@puresight.com para comunicar un fallo. Cuando el vendedor sea un socio comercial, también puede contactar con él. No utilizaremos el acuerdo de distribución para excluir una responsabilidad que la ley nos atribuya.</w:t>
      </w:r>
    </w:p>
    <w:p>
      <w:pPr>
        <w:pStyle w:val="Heading1"/>
        <w:pageBreakBefore w:val="0"/>
        <w:widowControl/>
      </w:pPr>
      <w:r>
        <w:rPr>
          <w:color w:val="000000"/>
          <w:lang w:val="es-ES"/>
        </w:rPr>
        <w:t>9 Desistimiento y cancelación</w:t>
      </w:r>
    </w:p>
    <w:p>
      <w:pPr>
        <w:widowControl/>
      </w:pPr>
      <w:r>
        <w:rPr>
          <w:color w:val="000000"/>
          <w:lang w:val="es-ES"/>
        </w:rPr>
        <w:t>Cuando tenga un derecho legal a desistir de un contrato a distancia, el vendedor debe facilitar las instrucciones aplicables y el formulario modelo antes de que usted quede obligado por el contrato. Para los consumidores del EEE, el plazo habitual de desistimiento de un contrato de servicios o de contenidos digitales es de 14 días desde su celebración, con sujeción a las normas y excepciones aplicables, incluido cualquier plazo ampliado por no haberse facilitado la información exigida.</w:t>
      </w:r>
    </w:p>
    <w:p>
      <w:pPr>
        <w:widowControl/>
      </w:pPr>
      <w:r>
        <w:rPr>
          <w:color w:val="000000"/>
          <w:lang w:val="es-ES"/>
        </w:rPr>
        <w:t>El inicio del suministro no elimina automáticamente ese derecho. La pérdida del derecho en el caso de contenidos digitales no suministrados en un soporte material exige el consentimiento expreso previo, el reconocimiento y la confirmación del contrato previstos por la ley. Para los servicios se aplican normas diferentes, incluidas las condiciones relativas a la ejecución completa y a cualquier pago proporcional tras una solicitud expresa de iniciar la prestación durante el plazo de desistimiento.</w:t>
      </w:r>
    </w:p>
    <w:p>
      <w:pPr>
        <w:widowControl/>
      </w:pPr>
      <w:r>
        <w:rPr>
          <w:color w:val="000000"/>
          <w:lang w:val="es-ES"/>
        </w:rPr>
        <w:t>Para desistir, envíe una declaración inequívoca que identifique su contrato al vendedor indicado en la confirmación de su pedido o contrato, utilizando los datos de contacto para el desistimiento que le haya facilitado, o utilice su función de desistimiento en línea cuando esté disponible. Puede utilizar la comunicación de desistimiento que figura al final de este acuerdo o el formulario facilitado por su vendedor, pero ninguno de ellos es obligatorio. Basta con enviar la comunicación antes de que venza el plazo de desistimiento. Cuando el desistimiento sea válido, el vendedor reembolsará los pagos que correspondan conforme a las normas aplicables sin demora indebida y, a más tardar, 14 días después de haber sido informado, normalmente utilizando el mismo medio de pago y sin cobrar una comisión. Solo será exigible un cargo proporcional por los servicios ya prestados cuando se cumplan las condiciones legales aplicables, incluidas su solicitud expresa de inicio anticipado y la información exigida.</w:t>
      </w:r>
    </w:p>
    <w:p>
      <w:pPr>
        <w:widowControl/>
      </w:pPr>
      <w:r>
        <w:rPr>
          <w:color w:val="000000"/>
          <w:lang w:val="es-ES"/>
        </w:rPr>
        <w:t>Ninguna aceptación general de este acuerdo constituye una renuncia al desistimiento. El vendedor debe explicar qué normas de desistimiento se aplican y obtener durante el proceso de pedido cualquier solicitud expresa o reconocimiento independiente que se exija. Para los contratos celebrados a través de una interfaz en línea cuando lo exija la ley, el vendedor también debe proporcionar una función de desistimiento en línea fácilmente accesible durante todo el plazo de desistimiento, explicar su ubicación antes de la celebración del contrato, obtener una confirmación inequívoca y enviar sin demora un acuse de recibo en soporte duradero con la declaración y su fecha y hora. Se aplican las protecciones locales adicionales de los consumidores descritas en la sección 17.</w:t>
      </w:r>
    </w:p>
    <w:p>
      <w:pPr>
        <w:pStyle w:val="Heading1"/>
        <w:pageBreakBefore w:val="0"/>
        <w:widowControl/>
      </w:pPr>
      <w:r>
        <w:rPr>
          <w:color w:val="000000"/>
          <w:lang w:val="es-ES"/>
        </w:rPr>
        <w:t>10 Suspensión y resolución</w:t>
      </w:r>
    </w:p>
    <w:p>
      <w:pPr>
        <w:widowControl/>
      </w:pPr>
      <w:r>
        <w:rPr>
          <w:color w:val="000000"/>
          <w:lang w:val="es-ES"/>
        </w:rPr>
        <w:t>Solo podemos restringir el acceso cuando sea razonablemente necesario para abordar un incumplimiento sustancial, un riesgo inmediato de seguridad, un uso ilícito o una exigencia legal. Cuando sea razonablemente posible, explicaremos los motivos y le daremos una oportunidad razonable de subsanar el incumplimiento antes de suspender o resolver el contrato.</w:t>
      </w:r>
    </w:p>
    <w:p>
      <w:pPr>
        <w:widowControl/>
      </w:pPr>
      <w:r>
        <w:rPr>
          <w:color w:val="000000"/>
          <w:lang w:val="es-ES"/>
        </w:rPr>
        <w:t>Podemos actuar de inmediato cuando la notificación genere un riesgo sustancial de seguridad, facilite una conducta ilícita o contravenga la ley. Toda restricción debe ser proporcional. Proporcionaremos un medio para impugnar una restricción errónea y restableceremos el acceso cuando dejen de existir sus motivos.</w:t>
      </w:r>
    </w:p>
    <w:p>
      <w:pPr>
        <w:widowControl/>
      </w:pPr>
      <w:r>
        <w:rPr>
          <w:color w:val="000000"/>
          <w:lang w:val="es-ES"/>
        </w:rPr>
        <w:t>La resolución no afecta a los derechos ni a los pagos ya exigibles, ni a ningún derecho legal de reembolso. Si dejamos de prestar un Servicio de pago por motivos no atribuibles a usted, reembolsaremos el período prepagado no utilizado, sin limitar otros recursos legales.</w:t>
      </w:r>
    </w:p>
    <w:p>
      <w:pPr>
        <w:widowControl/>
      </w:pPr>
      <w:r>
        <w:rPr>
          <w:color w:val="000000"/>
          <w:lang w:val="es-ES"/>
        </w:rPr>
        <w:t>Cuando finalice el acceso, deje de utilizar el software objeto de la licencia. La información sobre el acceso, la exportación y la eliminación de datos figura en la Política de privacidad y en la legislación aplicable. Respetaremos los derechos aplicables a recuperar contenidos después de la resolución y no exigiremos la destrucción de registros que usted tenga derecho legal a conservar.</w:t>
      </w:r>
    </w:p>
    <w:p>
      <w:pPr>
        <w:pStyle w:val="Heading1"/>
        <w:pageBreakBefore w:val="0"/>
        <w:widowControl/>
      </w:pPr>
      <w:r>
        <w:rPr>
          <w:color w:val="000000"/>
          <w:lang w:val="es-ES"/>
        </w:rPr>
        <w:t>11 Propiedad intelectual y componentes de terceros</w:t>
      </w:r>
    </w:p>
    <w:p>
      <w:pPr>
        <w:widowControl/>
      </w:pPr>
      <w:r>
        <w:rPr>
          <w:color w:val="000000"/>
          <w:lang w:val="es-ES"/>
        </w:rPr>
        <w:t>PureSight y sus licenciantes conservan sus derechos de propiedad intelectual sobre el Servicio. Usted conserva los derechos que tenga sobre sus propios contenidos e información personal.</w:t>
      </w:r>
    </w:p>
    <w:p>
      <w:pPr>
        <w:widowControl/>
      </w:pPr>
      <w:r>
        <w:rPr>
          <w:color w:val="000000"/>
          <w:lang w:val="es-ES"/>
        </w:rPr>
        <w:t>Los componentes de terceros y de código abierto pueden tener sus propios avisos de licencia aplicables. Esos avisos rigen los componentes correspondientes cuando así proceda, y este acuerdo no restringe los derechos concedidos por una licencia de código abierto obligatoria o aplicable.</w:t>
      </w:r>
    </w:p>
    <w:p>
      <w:pPr>
        <w:pStyle w:val="Heading1"/>
        <w:pageBreakBefore w:val="0"/>
        <w:widowControl/>
      </w:pPr>
      <w:r>
        <w:rPr>
          <w:color w:val="000000"/>
          <w:lang w:val="es-ES"/>
        </w:rPr>
        <w:t>12 Privacidad</w:t>
      </w:r>
    </w:p>
    <w:p>
      <w:pPr>
        <w:widowControl/>
      </w:pPr>
      <w:r>
        <w:rPr>
          <w:color w:val="000000"/>
          <w:lang w:val="es-ES"/>
        </w:rPr>
        <w:t>La Política de privacidad explica cómo se tratan los datos personales. Es un aviso informativo, no una renuncia a los derechos de privacidad ni un sustituto de una base jurídica válida o de cualquier consentimiento exigido por la ley.</w:t>
      </w:r>
    </w:p>
    <w:p>
      <w:pPr>
        <w:widowControl/>
      </w:pPr>
      <w:r>
        <w:rPr>
          <w:color w:val="000000"/>
          <w:lang w:val="es-ES"/>
        </w:rPr>
        <w:t>Usted y el menor pueden tener derechos de protección de datos distintos. Las solicitudes se evalúan prestando la debida atención a la identidad, la autoridad parental, los intereses del menor y la legislación aplicable. Los datos personales no se nos transfieren como propiedad intelectual en virtud de este acuerdo.</w:t>
      </w:r>
    </w:p>
    <w:p>
      <w:pPr>
        <w:pStyle w:val="Heading1"/>
        <w:pageBreakBefore w:val="0"/>
        <w:widowControl/>
      </w:pPr>
      <w:r>
        <w:rPr>
          <w:color w:val="000000"/>
          <w:lang w:val="es-ES"/>
        </w:rPr>
        <w:t>13 Responsabilidad</w:t>
      </w:r>
    </w:p>
    <w:p>
      <w:pPr>
        <w:widowControl/>
      </w:pPr>
      <w:r>
        <w:rPr>
          <w:color w:val="000000"/>
          <w:lang w:val="es-ES"/>
        </w:rPr>
        <w:t>Cada parte es responsable de las pérdidas por las que deba responder conforme a la legislación aplicable. PureSight no responde de las pérdidas que no le sean legalmente atribuibles. Ninguna disposición de esta sección transfiere nuestras responsabilidades legales a usted o a un socio de distribución.</w:t>
      </w:r>
    </w:p>
    <w:p>
      <w:pPr>
        <w:widowControl/>
      </w:pPr>
      <w:r>
        <w:rPr>
          <w:color w:val="000000"/>
          <w:lang w:val="es-ES"/>
        </w:rPr>
        <w:t>Para las reclamaciones a las que se aplique el límite, la responsabilidad total de PureSight derivada del mismo suceso o de una serie de sucesos relacionados no superará el total de los importes de licencia y suscripción que usted haya pagado efectivamente por el Servicio afectado durante los 12 meses inmediatamente anteriores al suceso que origine la reclamación, tanto si pagó directamente a PureSight como a un vendedor autorizado. Si no pagó dichos importes durante ese período, el límite es de US$1.</w:t>
      </w:r>
    </w:p>
    <w:p>
      <w:pPr>
        <w:widowControl/>
      </w:pPr>
      <w:r>
        <w:rPr>
          <w:color w:val="000000"/>
          <w:lang w:val="es-ES"/>
        </w:rPr>
        <w:t>No excluimos ni limitamos la responsabilidad por fraude, conducta dolosa o negligencia grave; muerte o lesiones personales cuando la ley prohíba su exclusión o limitación; indemnizaciones exigidas por la legislación de protección de datos; ni cualquier otra responsabilidad que no pueda excluirse o limitarse legalmente. El límite no restringe los derechos legales a la conformidad, reparación o corrección, sustitución, reducción del precio, resolución o reembolso. No restringe los derechos independientes de un menor o de cualquier otro tercero.</w:t>
      </w:r>
    </w:p>
    <w:p>
      <w:pPr>
        <w:widowControl/>
      </w:pPr>
      <w:r>
        <w:rPr>
          <w:color w:val="000000"/>
          <w:lang w:val="es-ES"/>
        </w:rPr>
        <w:t>Si la legislación imperativa que le resulte aplicable prohíbe este límite, exige un límite superior o establece un recurso o una indemnización que no pueda limitarse de esta manera, prevalecerá esa legislación y este límite no restringirá dichos derechos.</w:t>
      </w:r>
    </w:p>
    <w:p>
      <w:pPr>
        <w:widowControl/>
      </w:pPr>
      <w:r>
        <w:rPr>
          <w:color w:val="000000"/>
          <w:lang w:val="es-ES"/>
        </w:rPr>
        <w:t>El Servicio no proporciona una detección ni una protección del 100 %. Incluso cuando funciona de acuerdo con las funcionalidades acordadas, puede no detectar un riesgo o no prevenir un suceso perjudicial. Usted reconoce estas limitaciones inherentes. El Servicio ayuda a la supervisión parental y no la sustituye.</w:t>
      </w:r>
    </w:p>
    <w:p>
      <w:pPr>
        <w:pStyle w:val="Heading1"/>
        <w:pageBreakBefore w:val="0"/>
        <w:widowControl/>
      </w:pPr>
      <w:r>
        <w:rPr>
          <w:color w:val="000000"/>
          <w:lang w:val="es-ES"/>
        </w:rPr>
        <w:t>14 Cambios en estas condiciones</w:t>
      </w:r>
    </w:p>
    <w:p>
      <w:pPr>
        <w:widowControl/>
      </w:pPr>
      <w:r>
        <w:rPr>
          <w:color w:val="000000"/>
          <w:lang w:val="es-ES"/>
        </w:rPr>
        <w:t xml:space="preserve">Los cambios en el Servicio se rigen por la sección 7; esta sección trata de los cambios en las condiciones contractuales. </w:t>
      </w:r>
      <w:r>
        <w:rPr>
          <w:color w:val="000000"/>
          <w:lang w:val="es-ES"/>
        </w:rPr>
        <w:t>Podemos proponer cambios por los motivos descritos en la sección 7. Una nueva oferta comercial, un nuevo precio o un nuevo compromiso de pago solo le vinculan mediante un acuerdo válido; no autorizan un cambio unilateral de un precio ya acordado para un plazo fijo. Le notificaremos con antelación de forma clara y accesible e identificaremos la fecha de entrada en vigor y los cambios sustanciales.</w:t>
      </w:r>
    </w:p>
    <w:p>
      <w:pPr>
        <w:widowControl/>
      </w:pPr>
      <w:r>
        <w:rPr>
          <w:color w:val="000000"/>
          <w:lang w:val="es-ES"/>
        </w:rPr>
        <w:t>Los cambios no eliminan retroactivamente derechos adquiridos. Cuando se requiera su acuerdo, la publicación en un sitio web o el silencio por sí solos no constituyen aceptación. Si un cambio le perjudica de forma sustancial y la legislación aplicable le concede un derecho de resolución, explicaremos y respetaremos ese derecho. Un cambio que requiera un nuevo compromiso de pago exige su acuerdo expreso.</w:t>
      </w:r>
    </w:p>
    <w:p>
      <w:pPr>
        <w:pStyle w:val="Heading1"/>
        <w:pageBreakBefore w:val="0"/>
        <w:widowControl/>
      </w:pPr>
      <w:r>
        <w:rPr>
          <w:color w:val="000000"/>
          <w:lang w:val="es-ES"/>
        </w:rPr>
        <w:t>15 Contacto y reclamaciones</w:t>
      </w:r>
    </w:p>
    <w:p>
      <w:pPr>
        <w:widowControl/>
      </w:pPr>
      <w:r>
        <w:rPr>
          <w:color w:val="000000"/>
          <w:lang w:val="es-ES"/>
        </w:rPr>
        <w:t>Para obtener asistencia con el servicio o presentar reclamaciones, contacte con support@puresight.com. Para cuestiones de facturación o cancelación, utilice los datos de contacto del vendedor que figuran en su pedido; también puede pedirnos ayuda para identificar el contacto correcto.</w:t>
      </w:r>
    </w:p>
    <w:p>
      <w:pPr>
        <w:widowControl/>
      </w:pPr>
      <w:r>
        <w:rPr>
          <w:color w:val="000000"/>
          <w:lang w:val="es-ES"/>
        </w:rPr>
        <w:t>Identificaremos cualquier organismo de resolución alternativa de litigios que resulte aplicable e indicaremos si estamos obligados o dispuestos a participar cuando lo exija la ley. Este acuerdo no impone el arbitraje ni restringe su derecho a acudir a un tribunal competente.</w:t>
      </w:r>
    </w:p>
    <w:p>
      <w:pPr>
        <w:pStyle w:val="Heading1"/>
        <w:pageBreakBefore w:val="0"/>
        <w:widowControl/>
      </w:pPr>
      <w:r>
        <w:rPr>
          <w:color w:val="000000"/>
          <w:lang w:val="es-ES"/>
        </w:rPr>
        <w:t>16 Legislación aplicable y disposiciones generales</w:t>
      </w:r>
    </w:p>
    <w:p>
      <w:pPr>
        <w:widowControl/>
      </w:pPr>
      <w:r>
        <w:rPr>
          <w:color w:val="000000"/>
          <w:lang w:val="es-ES"/>
        </w:rPr>
        <w:t>Para los consumidores que se encuentren fuera del EEE, la legislación israelí se aplica únicamente en la medida en que no les prive de las protecciones imperativas previstas por la legislación que, en otro caso, se aplicaría a su contrato de consumo. Esta elección no impone la competencia exclusiva de los tribunales de Israel ni le impide acudir a los tribunales a su disposición conforme a la legislación imperativa.</w:t>
      </w:r>
    </w:p>
    <w:p>
      <w:pPr>
        <w:widowControl/>
      </w:pPr>
      <w:r>
        <w:rPr>
          <w:color w:val="000000"/>
          <w:lang w:val="es-ES"/>
        </w:rPr>
        <w:t>Si una cláusula es inválida, no le vinculará en la medida de esa invalidez; el resto del acuerdo seguirá vigente cuando sea legalmente posible. Una cláusula abusiva para el consumidor no se reformula simplemente para preservar una ventaja a nuestro favor. La demora en hacer valer un derecho no supone renuncia a él.</w:t>
      </w:r>
    </w:p>
    <w:p>
      <w:pPr>
        <w:widowControl/>
      </w:pPr>
      <w:r>
        <w:rPr>
          <w:color w:val="000000"/>
          <w:lang w:val="es-ES"/>
        </w:rPr>
        <w:t>Solo podemos ceder este acuerdo si ello no reduce sus garantías contractuales ni sus derechos legales. Se le notificará cuando sea obligatorio. Ninguna disposición de este acuerdo excluye información o declaraciones precontractuales que sean exigibles.</w:t>
      </w:r>
    </w:p>
    <w:p>
      <w:pPr>
        <w:pStyle w:val="Heading1"/>
        <w:pageBreakBefore w:val="0"/>
        <w:widowControl/>
      </w:pPr>
      <w:r>
        <w:rPr>
          <w:color w:val="000000"/>
          <w:lang w:val="es-ES"/>
        </w:rPr>
        <w:t>17 Protecciones imperativas de los consumidores</w:t>
      </w:r>
    </w:p>
    <w:p>
      <w:pPr>
        <w:widowControl/>
      </w:pPr>
      <w:r>
        <w:rPr>
          <w:color w:val="000000"/>
          <w:lang w:val="es-ES"/>
        </w:rPr>
        <w:t>Ninguna disposición de este acuerdo excluye los derechos imperativos de los consumidores que le sean aplicables. Las disposiciones siguientes se aplican cuando se cumplan las condiciones pertinentes de consumidor y jurisdicción; no limitan las protecciones imperativas disponibles en otros lugares.</w:t>
      </w:r>
    </w:p>
    <w:p>
      <w:pPr>
        <w:widowControl/>
      </w:pPr>
      <w:r>
        <w:rPr>
          <w:color w:val="000000"/>
          <w:lang w:val="es-ES"/>
        </w:rPr>
        <w:t>Para un consumidor con residencia habitual en el Espacio Económico Europeo (EEE), este acuerdo se rige por la legislación del país de residencia habitual. Usted conserva el derecho a iniciar procedimientos ante los tribunales a su disposición conforme a las normas aplicables sobre competencia judicial en materia de consumo. Solo podemos iniciar procedimientos contra usted ante los tribunales permitidos por esas normas. Con independencia de dónde viva, este acuerdo no le priva de ninguna protección imperativa relativa a la legislación aplicable o al acceso a un tribunal competente.</w:t>
      </w:r>
    </w:p>
    <w:p>
      <w:pPr>
        <w:widowControl/>
      </w:pPr>
      <w:r>
        <w:rPr>
          <w:color w:val="000000"/>
          <w:lang w:val="es-ES"/>
        </w:rPr>
        <w:t>Usted conserva los derechos y recursos previstos por la legislación imperativa de consumo aplicable, incluidos los relativos a suministro, conformidad, desistimiento, reembolsos y cláusulas abusivas. El empresario responsable debe suministrar el contenido o servicio digital acordado y subsanar la falta de conformidad en las condiciones previstas por esa legislación.</w:t>
      </w:r>
    </w:p>
    <w:p>
      <w:pPr>
        <w:widowControl/>
      </w:pPr>
      <w:r>
        <w:rPr>
          <w:color w:val="000000"/>
          <w:lang w:val="es-ES"/>
        </w:rPr>
        <w:t>Cuando se apliquen las normas imperativas del EEE sobre contenidos o servicios digitales, el empresario responsable responde de la conformidad durante todo el período acordado de suministro continuo; el suministro único está sujeto a los plazos legales aplicables. Cuando corresponda un reembolso legal tras una reducción del precio o la resolución conforme a esas normas, deberá efectuarse sin demora indebida y, en todo caso, dentro de los 14 días siguientes a la notificación pertinente, mediante el medio de pago legalmente exigido y sin imponer una comisión. Los derechos locales imperativos que otorguen una mayor protección no se ven afectados.</w:t>
      </w:r>
    </w:p>
    <w:p>
      <w:pPr>
        <w:widowControl/>
      </w:pPr>
      <w:r>
        <w:rPr>
          <w:color w:val="000000"/>
          <w:lang w:val="es-ES"/>
        </w:rPr>
        <w:t>Cuando la legislación aplicable exija información contractual, condiciones o confirmaciones en un idioma determinado, o dé prioridad a una versión lingüística, las facilitaremos y respetaremos esas exigencias. Ninguna versión lingüística puede utilizarse para reducir sus derechos imperativos. Toda incertidumbre, incoherencia o discrepancia de traducción se interpretará de la forma más favorable al consumidor cuando lo exija la legislación imperativa.</w:t>
      </w:r>
    </w:p>
    <w:p>
      <w:pPr>
        <w:widowControl/>
      </w:pPr>
      <w:r>
        <w:rPr>
          <w:color w:val="000000"/>
          <w:lang w:val="es-ES"/>
        </w:rPr>
        <w:t>Las protecciones que le correspondan en virtud de esta sección prevalecen sobre cualquier cláusula contradictoria en otra parte de este acuerdo, en una pantalla de activación o en un aviso general del producto. El vendedor debe facilitar, en el idioma exigido, toda la información precontractual, las instrucciones de desistimiento y la confirmación en soporte duradero exigidas por la legislación aplicable.</w:t>
      </w:r>
    </w:p>
    <w:p>
      <w:pPr>
        <w:pStyle w:val="Heading1"/>
        <w:pageBreakBefore w:val="0"/>
        <w:widowControl/>
      </w:pPr>
      <w:r>
        <w:rPr>
          <w:color w:val="000000"/>
          <w:lang w:val="es-ES"/>
        </w:rPr>
        <w:t>18 Su pedido y su plan</w:t>
      </w:r>
    </w:p>
    <w:p>
      <w:pPr>
        <w:widowControl/>
      </w:pPr>
      <w:r>
        <w:rPr>
          <w:color w:val="000000"/>
          <w:lang w:val="es-ES"/>
        </w:rPr>
        <w:t>La confirmación de su pedido o activación y la descripción del plan detallan el Servicio que recibe, la identidad legal y los datos de contacto del vendedor o proveedor que contrata con usted, los cargos que correspondan y el período de suscripción o acceso aplicable. También identifican los procedimientos pertinentes de asistencia, facturación, reclamaciones y cancelación, así como las condiciones locales que se apliquen a su oferta.</w:t>
      </w:r>
    </w:p>
    <w:p>
      <w:pPr>
        <w:widowControl/>
      </w:pPr>
      <w:r>
        <w:rPr>
          <w:color w:val="000000"/>
          <w:lang w:val="es-ES"/>
        </w:rPr>
        <w:t>La información sobre funciones disponibles, límites de dispositivos y otros límites de uso, compatibilidad, permisos necesarios, período de suministro y actualizaciones de software debe facilitarse antes de la compra o activación. Cuando el acceso esté incluido en otro producto o lo pague otra parte, la información facilitada con la oferta explica el acceso incluido y las condiciones para continuar una vez que finalice ese acceso.</w:t>
      </w:r>
    </w:p>
    <w:p>
      <w:pPr>
        <w:widowControl/>
      </w:pPr>
      <w:r>
        <w:rPr>
          <w:color w:val="000000"/>
          <w:lang w:val="es-ES"/>
        </w:rPr>
        <w:t>Para el desistimiento y los reembolsos legales, utilice el vendedor y los datos de contacto facilitados con la confirmación de su pedido o contrato. En una compra a un socio comercial, envíe su comunicación a ese vendedor o al destinatario que haya autorizado. El servicio de asistencia de PureSight puede ayudarle a identificar el contacto pertinente, pero esa asistencia no sustituye el envío de la comunicación al destinatario adecuado.</w:t>
      </w:r>
    </w:p>
    <w:p>
      <w:pPr>
        <w:widowControl/>
      </w:pPr>
      <w:r>
        <w:rPr>
          <w:color w:val="000000"/>
          <w:lang w:val="es-ES"/>
        </w:rPr>
        <w:t>Su pedido, la descripción del plan y estas condiciones deben ser coherentes entre sí. Prevalece la legislación imperativa; las condiciones específicas de la oferta no pueden eliminar las protecciones de los consumidores de la sección 17 ni otros derechos imperativos. Todo uso adicional permitido que no sea de consumo debe definirse expresamente. Estos documentos no modifican contratos negociados por separado entre otras partes de la cadena de distribución ni establecen funciones en materia de protección de datos.</w:t>
      </w:r>
    </w:p>
    <w:p>
      <w:pPr>
        <w:pStyle w:val="Heading1"/>
        <w:pageBreakBefore w:val="0"/>
        <w:widowControl/>
      </w:pPr>
      <w:r>
        <w:rPr>
          <w:color w:val="000000"/>
          <w:lang w:val="es-ES"/>
        </w:rPr>
        <w:t>Comunicación de desistimiento</w:t>
      </w:r>
    </w:p>
    <w:p>
      <w:pPr>
        <w:widowControl/>
      </w:pPr>
      <w:r>
        <w:rPr>
          <w:color w:val="000000"/>
          <w:lang w:val="es-ES"/>
        </w:rPr>
        <w:t>Utilice la siguiente comunicación únicamente si desea desistir del contrato y existe un derecho de desistimiento aplicable. En su lugar, puede utilizar el formulario facilitado por su vendedor o cualquier otra declaración inequívoca de desistimiento.</w:t>
      </w:r>
    </w:p>
    <w:p>
      <w:pPr>
        <w:widowControl/>
      </w:pPr>
      <w:r>
        <w:rPr>
          <w:color w:val="000000"/>
          <w:lang w:val="es-ES"/>
        </w:rPr>
        <w:t>Envíe la comunicación al vendedor identificado en la confirmación de su pedido o contrato, utilizando los datos de contacto para el desistimiento que le haya facilitado.</w:t>
      </w:r>
    </w:p>
    <w:p>
      <w:pPr>
        <w:widowControl/>
      </w:pPr>
      <w:r>
        <w:rPr>
          <w:color w:val="000000"/>
          <w:lang w:val="es-ES"/>
        </w:rPr>
        <w:t>Por la presente comunico que desisto de mi contrato de prestación del siguiente servicio o contenido digital: ____________________.</w:t>
      </w:r>
    </w:p>
    <w:p>
      <w:pPr>
        <w:widowControl/>
      </w:pPr>
      <w:r>
        <w:rPr>
          <w:color w:val="000000"/>
          <w:lang w:val="es-ES"/>
        </w:rPr>
        <w:t>Pedido el: ____________________. Nombre del consumidor: ____________________.</w:t>
      </w:r>
    </w:p>
    <w:p>
      <w:pPr>
        <w:widowControl/>
      </w:pPr>
      <w:r>
        <w:rPr>
          <w:color w:val="000000"/>
          <w:lang w:val="es-ES"/>
        </w:rPr>
        <w:t>Dirección del consumidor: ____________________. Fecha: ____________________.</w:t>
      </w:r>
    </w:p>
    <w:p>
      <w:pPr>
        <w:widowControl/>
      </w:pPr>
      <w:r>
        <w:rPr>
          <w:color w:val="000000"/>
          <w:lang w:val="es-ES"/>
        </w:rPr>
        <w:t>Firma del consumidor, solo si este formulario se envía en papel: ____________________.</w:t>
      </w:r>
    </w:p>
    <w:p>
      <w:pPr>
        <w:widowControl/>
      </w:pPr>
      <w:r>
        <w:rPr>
          <w:color w:val="000000"/>
          <w:lang w:val="es-ES"/>
        </w:rPr>
        <w:t>Esta comunicación no sustituye una función de desistimiento en línea ni la información sobre el desistimiento y el formulario modelo que el vendedor deba facilitar cuando lo exija la ley.</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PureSight Technologies Ltd © 2026  |  Versión 8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Aptos" w:hAnsi="Aptos"/>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w:hAnsi="Aptos"/>
      <w:b/>
      <w:bCs/>
      <w:color w:val="000000"/>
      <w:sz w:val="28"/>
      <w:szCs w:val="28"/>
      <w:lang w:val="en-GB"/>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000000"/>
      <w:sz w:val="24"/>
      <w:szCs w:val="26"/>
      <w:lang w:val="en-GB"/>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w:hAnsi="Aptos"/>
      <w:b/>
      <w:bCs/>
      <w:color w:val="000000"/>
      <w:sz w:val="22"/>
      <w:lang w:val="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before="0"/>
      <w:contextualSpacing/>
    </w:pPr>
    <w:rPr>
      <w:rFonts w:asciiTheme="majorHAnsi" w:eastAsiaTheme="majorEastAsia" w:hAnsiTheme="majorHAnsi" w:cstheme="majorBidi" w:ascii="Aptos" w:hAnsi="Aptos"/>
      <w:b w:val="0"/>
      <w:color w:val="000000"/>
      <w:spacing w:val="5"/>
      <w:kern w:val="28"/>
      <w:sz w:val="46"/>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000000"/>
      <w:spacing w:val="15"/>
      <w:sz w:val="24"/>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contextualSpacing/>
    </w:pPr>
    <w:rPr>
      <w:rFonts w:ascii="Aptos" w:hAnsi="Aptos"/>
      <w:color w:val="000000"/>
      <w:lang w:val="en-GB"/>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de licencia de usuario final de PureSight</dc:title>
  <dc:subject/>
  <dc:creator>Royi Cohen</dc:creator>
  <cp:keywords/>
  <dc:description/>
  <cp:lastModifiedBy>Royi Cohen</cp:lastModifiedBy>
  <cp:revision>1</cp:revision>
  <dcterms:created xsi:type="dcterms:W3CDTF">2013-12-23T23:15:00Z</dcterms:created>
  <dcterms:modified xsi:type="dcterms:W3CDTF">2013-12-23T23:15:00Z</dcterms:modified>
  <cp:category/>
</cp:coreProperties>
</file>